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1D72" w14:textId="45E857E6" w:rsidR="002D2329" w:rsidRPr="00681749" w:rsidRDefault="006749DF" w:rsidP="002D2329">
      <w:pPr>
        <w:rPr>
          <w:b/>
        </w:rPr>
      </w:pPr>
      <w:r>
        <w:rPr>
          <w:b/>
        </w:rPr>
        <w:t xml:space="preserve"> </w:t>
      </w:r>
    </w:p>
    <w:p w14:paraId="59B77A5A" w14:textId="77777777" w:rsidR="002D2329" w:rsidRPr="00681749" w:rsidRDefault="002D2329" w:rsidP="002D2329">
      <w:pPr>
        <w:rPr>
          <w:b/>
        </w:rPr>
      </w:pPr>
    </w:p>
    <w:p w14:paraId="6EDDA3A9" w14:textId="77777777" w:rsidR="002D2329" w:rsidRPr="00681749" w:rsidRDefault="002D2329" w:rsidP="002D2329">
      <w:pPr>
        <w:rPr>
          <w:b/>
        </w:rPr>
      </w:pPr>
    </w:p>
    <w:p w14:paraId="47DC89D9" w14:textId="77777777" w:rsidR="002D2329" w:rsidRPr="00681749" w:rsidRDefault="002D2329" w:rsidP="002D2329">
      <w:pPr>
        <w:rPr>
          <w:b/>
        </w:rPr>
      </w:pPr>
    </w:p>
    <w:p w14:paraId="72A1229F" w14:textId="77777777" w:rsidR="002D2329" w:rsidRPr="00681749" w:rsidRDefault="002D2329" w:rsidP="002D2329">
      <w:pPr>
        <w:rPr>
          <w:b/>
        </w:rPr>
      </w:pPr>
    </w:p>
    <w:p w14:paraId="2ABA10F8" w14:textId="77777777" w:rsidR="002D2329" w:rsidRPr="00681749" w:rsidRDefault="002D2329" w:rsidP="002D2329">
      <w:pPr>
        <w:rPr>
          <w:b/>
        </w:rPr>
      </w:pPr>
    </w:p>
    <w:p w14:paraId="3F29C074" w14:textId="77777777" w:rsidR="002D2329" w:rsidRPr="00681749" w:rsidRDefault="002D2329" w:rsidP="002D2329">
      <w:pPr>
        <w:rPr>
          <w:b/>
        </w:rPr>
      </w:pPr>
    </w:p>
    <w:p w14:paraId="3FC8EB1F" w14:textId="77777777" w:rsidR="002D2329" w:rsidRPr="00681749" w:rsidRDefault="002D2329" w:rsidP="002D2329">
      <w:pPr>
        <w:rPr>
          <w:b/>
        </w:rPr>
      </w:pPr>
    </w:p>
    <w:p w14:paraId="19F0DAF5" w14:textId="77777777" w:rsidR="002D2329" w:rsidRPr="00681749" w:rsidRDefault="002D2329" w:rsidP="002D2329">
      <w:pPr>
        <w:rPr>
          <w:b/>
        </w:rPr>
      </w:pPr>
    </w:p>
    <w:p w14:paraId="480CA28C" w14:textId="77777777" w:rsidR="002D2329" w:rsidRPr="00681749" w:rsidRDefault="002D2329" w:rsidP="002D2329">
      <w:pPr>
        <w:rPr>
          <w:b/>
        </w:rPr>
      </w:pPr>
    </w:p>
    <w:p w14:paraId="27C4C1E2" w14:textId="77777777" w:rsidR="002D2329" w:rsidRPr="00681749" w:rsidRDefault="002D2329" w:rsidP="002D2329">
      <w:pPr>
        <w:rPr>
          <w:b/>
        </w:rPr>
      </w:pPr>
    </w:p>
    <w:p w14:paraId="424EB998" w14:textId="77777777" w:rsidR="002D2329" w:rsidRPr="00681749" w:rsidRDefault="002D2329" w:rsidP="002D2329">
      <w:pPr>
        <w:rPr>
          <w:b/>
        </w:rPr>
      </w:pPr>
    </w:p>
    <w:p w14:paraId="6132C26D" w14:textId="77777777" w:rsidR="002D2329" w:rsidRPr="00681749" w:rsidRDefault="002D2329" w:rsidP="002D2329">
      <w:pPr>
        <w:rPr>
          <w:b/>
        </w:rPr>
      </w:pPr>
    </w:p>
    <w:p w14:paraId="7359B100" w14:textId="77777777" w:rsidR="002D2329" w:rsidRPr="00681749" w:rsidRDefault="002D2329" w:rsidP="002D2329">
      <w:pPr>
        <w:rPr>
          <w:b/>
        </w:rPr>
      </w:pPr>
    </w:p>
    <w:p w14:paraId="52E8524C" w14:textId="77777777" w:rsidR="002D2329" w:rsidRPr="00681749" w:rsidRDefault="002D2329" w:rsidP="002D2329">
      <w:pPr>
        <w:rPr>
          <w:b/>
        </w:rPr>
      </w:pPr>
    </w:p>
    <w:p w14:paraId="35AA0CD8" w14:textId="77777777" w:rsidR="002D2329" w:rsidRPr="00681749" w:rsidRDefault="002D2329" w:rsidP="002D2329">
      <w:pPr>
        <w:rPr>
          <w:b/>
        </w:rPr>
      </w:pPr>
    </w:p>
    <w:p w14:paraId="57BB8F23" w14:textId="77777777" w:rsidR="002D2329" w:rsidRPr="006C3521" w:rsidRDefault="002D2329" w:rsidP="002D2329">
      <w:pPr>
        <w:jc w:val="center"/>
        <w:rPr>
          <w:b/>
          <w:sz w:val="28"/>
          <w:szCs w:val="28"/>
        </w:rPr>
      </w:pPr>
      <w:r w:rsidRPr="006C3521">
        <w:rPr>
          <w:b/>
          <w:sz w:val="28"/>
          <w:szCs w:val="28"/>
        </w:rPr>
        <w:t>Krajská metodika rozpisu přímých výdajů</w:t>
      </w:r>
    </w:p>
    <w:p w14:paraId="516F154B" w14:textId="77777777" w:rsidR="002D2329" w:rsidRPr="006C3521" w:rsidRDefault="002D2329" w:rsidP="002D2329">
      <w:pPr>
        <w:jc w:val="center"/>
        <w:rPr>
          <w:b/>
          <w:sz w:val="28"/>
          <w:szCs w:val="28"/>
        </w:rPr>
      </w:pPr>
      <w:r w:rsidRPr="006C3521">
        <w:rPr>
          <w:b/>
          <w:sz w:val="28"/>
          <w:szCs w:val="28"/>
        </w:rPr>
        <w:t>právnických osob vykonávajících činnost škol a školských zařízení</w:t>
      </w:r>
    </w:p>
    <w:p w14:paraId="2D90C772" w14:textId="77777777" w:rsidR="002D2329" w:rsidRPr="006C3521" w:rsidRDefault="002D2329" w:rsidP="002D2329">
      <w:pPr>
        <w:jc w:val="center"/>
        <w:rPr>
          <w:b/>
          <w:sz w:val="28"/>
          <w:szCs w:val="28"/>
        </w:rPr>
      </w:pPr>
      <w:r w:rsidRPr="006C3521">
        <w:rPr>
          <w:b/>
          <w:sz w:val="28"/>
          <w:szCs w:val="28"/>
        </w:rPr>
        <w:t>zřizovaných obcemi v Libereckém kraji a Libereckým krajem</w:t>
      </w:r>
    </w:p>
    <w:p w14:paraId="26403B27" w14:textId="3D09CF04" w:rsidR="002D2329" w:rsidRPr="006C3521" w:rsidRDefault="002D2329" w:rsidP="002D2329">
      <w:pPr>
        <w:jc w:val="center"/>
        <w:rPr>
          <w:b/>
          <w:sz w:val="28"/>
          <w:szCs w:val="28"/>
        </w:rPr>
      </w:pPr>
      <w:r w:rsidRPr="005A01AE">
        <w:rPr>
          <w:b/>
          <w:sz w:val="28"/>
          <w:szCs w:val="28"/>
        </w:rPr>
        <w:t xml:space="preserve">pro rok </w:t>
      </w:r>
      <w:r w:rsidRPr="006F6F3A">
        <w:rPr>
          <w:b/>
          <w:sz w:val="28"/>
          <w:szCs w:val="28"/>
        </w:rPr>
        <w:t>202</w:t>
      </w:r>
      <w:r w:rsidR="00B41456">
        <w:rPr>
          <w:b/>
          <w:sz w:val="28"/>
          <w:szCs w:val="28"/>
        </w:rPr>
        <w:t>5</w:t>
      </w:r>
    </w:p>
    <w:p w14:paraId="092A1FBD" w14:textId="77777777" w:rsidR="002D2329" w:rsidRPr="006C3521" w:rsidRDefault="002D2329" w:rsidP="002D2329">
      <w:pPr>
        <w:rPr>
          <w:b/>
        </w:rPr>
      </w:pPr>
    </w:p>
    <w:p w14:paraId="30103D99" w14:textId="77777777" w:rsidR="002D2329" w:rsidRPr="006C3521" w:rsidRDefault="002D2329" w:rsidP="002D2329">
      <w:pPr>
        <w:rPr>
          <w:b/>
        </w:rPr>
      </w:pPr>
    </w:p>
    <w:p w14:paraId="7A17E94D" w14:textId="77777777" w:rsidR="002D2329" w:rsidRPr="006C3521" w:rsidRDefault="002D2329" w:rsidP="002D2329">
      <w:pPr>
        <w:rPr>
          <w:b/>
        </w:rPr>
      </w:pPr>
    </w:p>
    <w:p w14:paraId="025E1D32" w14:textId="77777777" w:rsidR="002D2329" w:rsidRPr="006C3521" w:rsidRDefault="002D2329" w:rsidP="002D2329">
      <w:pPr>
        <w:rPr>
          <w:b/>
        </w:rPr>
      </w:pPr>
    </w:p>
    <w:p w14:paraId="6F92C221" w14:textId="37C8DE55" w:rsidR="002D2329" w:rsidRPr="006C3521" w:rsidRDefault="002D2329" w:rsidP="002D2329">
      <w:pPr>
        <w:rPr>
          <w:b/>
        </w:rPr>
      </w:pPr>
    </w:p>
    <w:p w14:paraId="6C2E6A51" w14:textId="30064317" w:rsidR="002D2329" w:rsidRPr="006C3521" w:rsidRDefault="00B41456" w:rsidP="002D2329">
      <w:pPr>
        <w:rPr>
          <w:b/>
        </w:rPr>
      </w:pPr>
      <w:r>
        <w:rPr>
          <w:b/>
          <w:noProof/>
        </w:rPr>
        <mc:AlternateContent>
          <mc:Choice Requires="wps">
            <w:drawing>
              <wp:anchor distT="0" distB="0" distL="114300" distR="114300" simplePos="0" relativeHeight="251659264" behindDoc="0" locked="0" layoutInCell="1" allowOverlap="1" wp14:anchorId="125F73FB" wp14:editId="0B15F07E">
                <wp:simplePos x="0" y="0"/>
                <wp:positionH relativeFrom="margin">
                  <wp:posOffset>98117</wp:posOffset>
                </wp:positionH>
                <wp:positionV relativeFrom="paragraph">
                  <wp:posOffset>19860</wp:posOffset>
                </wp:positionV>
                <wp:extent cx="5562600" cy="1559529"/>
                <wp:effectExtent l="0" t="0" r="0" b="3175"/>
                <wp:wrapNone/>
                <wp:docPr id="969692712" name="Textové pole 1"/>
                <wp:cNvGraphicFramePr/>
                <a:graphic xmlns:a="http://schemas.openxmlformats.org/drawingml/2006/main">
                  <a:graphicData uri="http://schemas.microsoft.com/office/word/2010/wordprocessingShape">
                    <wps:wsp>
                      <wps:cNvSpPr txBox="1"/>
                      <wps:spPr>
                        <a:xfrm>
                          <a:off x="0" y="0"/>
                          <a:ext cx="5562600" cy="1559529"/>
                        </a:xfrm>
                        <a:prstGeom prst="rect">
                          <a:avLst/>
                        </a:prstGeom>
                        <a:solidFill>
                          <a:schemeClr val="bg1">
                            <a:lumMod val="95000"/>
                          </a:schemeClr>
                        </a:solidFill>
                        <a:ln w="6350">
                          <a:noFill/>
                        </a:ln>
                      </wps:spPr>
                      <wps:txbx>
                        <w:txbxContent>
                          <w:p w14:paraId="2711CE56" w14:textId="77777777" w:rsidR="00B41456" w:rsidRDefault="00B41456" w:rsidP="00B41456">
                            <w:pPr>
                              <w:pStyle w:val="Zkladntext31"/>
                              <w:rPr>
                                <w:bCs/>
                                <w:color w:val="000000"/>
                              </w:rPr>
                            </w:pPr>
                            <w:r>
                              <w:rPr>
                                <w:bCs/>
                                <w:color w:val="000000"/>
                              </w:rPr>
                              <w:t>V souladu s vyhláškou MŠMT č, 310/2018 Sb., o krajských normativech, v platném znění, jsou normativy stanoveny na období celého kalendářního roku 2025 (tj. od ledna do prosince).</w:t>
                            </w:r>
                          </w:p>
                          <w:p w14:paraId="576C8034" w14:textId="5357FA4F" w:rsidR="00B41456" w:rsidRPr="00B41456" w:rsidRDefault="00B41456" w:rsidP="00B41456">
                            <w:pPr>
                              <w:pStyle w:val="Zkladntext31"/>
                              <w:rPr>
                                <w:bCs/>
                                <w:color w:val="000000"/>
                              </w:rPr>
                            </w:pPr>
                            <w:r>
                              <w:rPr>
                                <w:bCs/>
                                <w:color w:val="000000"/>
                              </w:rPr>
                              <w:t>Na základě dotace přidělené z MŠMT do rozpočtu Libereckého kraje jsou aktuálně kryty u nepedagogických pracovníků platy, související odvody a příspěvek na FKSP</w:t>
                            </w:r>
                            <w:r w:rsidR="005031D8">
                              <w:rPr>
                                <w:bCs/>
                                <w:color w:val="000000"/>
                              </w:rPr>
                              <w:t xml:space="preserve"> a ostatní neinvestiční výdaje</w:t>
                            </w:r>
                            <w:r w:rsidR="00402DCA">
                              <w:rPr>
                                <w:bCs/>
                                <w:color w:val="000000"/>
                              </w:rPr>
                              <w:t xml:space="preserve"> (ONIV)</w:t>
                            </w:r>
                            <w:r>
                              <w:rPr>
                                <w:bCs/>
                                <w:color w:val="000000"/>
                              </w:rPr>
                              <w:t xml:space="preserve"> na období 8 měsíců roku 2025, (tj. od ledna do srpna). Tomu odpovídají i rozepisované limity počtu zaměstnanců (normativní úvazky nepedagogických pracovníků jsou přepočteny na 8/12).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5F73FB" id="_x0000_t202" coordsize="21600,21600" o:spt="202" path="m,l,21600r21600,l21600,xe">
                <v:stroke joinstyle="miter"/>
                <v:path gradientshapeok="t" o:connecttype="rect"/>
              </v:shapetype>
              <v:shape id="_x0000_s1026" type="#_x0000_t202" style="position:absolute;margin-left:7.75pt;margin-top:1.55pt;width:438pt;height:12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" fillcolor="#f2f2f2 [3052]" stroked="f" strokeweight=".5pt">
                <v:textbox>
                  <w:txbxContent>
                    <w:p w14:paraId="2711CE56" w14:textId="77777777" w:rsidR="00B41456" w:rsidRDefault="00B41456" w:rsidP="00B41456">
                      <w:pPr>
                        <w:pStyle w:val="Zkladntext31"/>
                        <w:rPr>
                          <w:bCs/>
                          <w:color w:val="000000"/>
                        </w:rPr>
                      </w:pPr>
                      <w:r>
                        <w:rPr>
                          <w:bCs/>
                          <w:color w:val="000000"/>
                        </w:rPr>
                        <w:t>V souladu s vyhláškou MŠMT č, 310/2018 Sb., o krajských normativech, v platném znění, jsou normativy stanoveny na období celého kalendářního roku 2025 (tj. od ledna do prosince).</w:t>
                      </w:r>
                    </w:p>
                    <w:p w14:paraId="576C8034" w14:textId="5357FA4F" w:rsidR="00B41456" w:rsidRPr="00B41456" w:rsidRDefault="00B41456" w:rsidP="00B41456">
                      <w:pPr>
                        <w:pStyle w:val="Zkladntext31"/>
                        <w:rPr>
                          <w:bCs/>
                          <w:color w:val="000000"/>
                        </w:rPr>
                      </w:pPr>
                      <w:r>
                        <w:rPr>
                          <w:bCs/>
                          <w:color w:val="000000"/>
                        </w:rPr>
                        <w:t>Na základě dotace přidělené z MŠMT do rozpočtu Libereckého kraje jsou aktuálně kryty u nepedagogických pracovníků platy, související odvody a příspěvek na FKSP</w:t>
                      </w:r>
                      <w:r w:rsidR="005031D8">
                        <w:rPr>
                          <w:bCs/>
                          <w:color w:val="000000"/>
                        </w:rPr>
                        <w:t xml:space="preserve"> a ostatní neinvestiční výdaje</w:t>
                      </w:r>
                      <w:r w:rsidR="00402DCA">
                        <w:rPr>
                          <w:bCs/>
                          <w:color w:val="000000"/>
                        </w:rPr>
                        <w:t xml:space="preserve"> (ONIV)</w:t>
                      </w:r>
                      <w:r>
                        <w:rPr>
                          <w:bCs/>
                          <w:color w:val="000000"/>
                        </w:rPr>
                        <w:t xml:space="preserve"> na období 8 měsíců roku 2025, (tj. od ledna do srpna). Tomu odpovídají i rozepisované limity počtu zaměstnanců (normativní úvazky nepedagogických pracovníků jsou přepočteny na 8/12).</w:t>
                      </w:r>
                    </w:p>
                  </w:txbxContent>
                </v:textbox>
                <w10:wrap anchorx="margin"/>
              </v:shape>
            </w:pict>
          </mc:Fallback>
        </mc:AlternateContent>
      </w:r>
    </w:p>
    <w:p w14:paraId="4BB19FC9" w14:textId="77777777" w:rsidR="002D2329" w:rsidRPr="006C3521" w:rsidRDefault="002D2329" w:rsidP="002D2329">
      <w:pPr>
        <w:rPr>
          <w:b/>
        </w:rPr>
      </w:pPr>
    </w:p>
    <w:p w14:paraId="784BAD52" w14:textId="77777777" w:rsidR="002D2329" w:rsidRPr="006C3521" w:rsidRDefault="002D2329" w:rsidP="002D2329">
      <w:pPr>
        <w:rPr>
          <w:b/>
        </w:rPr>
      </w:pPr>
    </w:p>
    <w:p w14:paraId="0A4511B0" w14:textId="77777777" w:rsidR="002D2329" w:rsidRPr="006C3521" w:rsidRDefault="002D2329" w:rsidP="002D2329">
      <w:pPr>
        <w:rPr>
          <w:b/>
        </w:rPr>
      </w:pPr>
    </w:p>
    <w:p w14:paraId="16C439D3" w14:textId="77777777" w:rsidR="002D2329" w:rsidRPr="006C3521" w:rsidRDefault="002D2329" w:rsidP="002D2329">
      <w:pPr>
        <w:rPr>
          <w:b/>
        </w:rPr>
      </w:pPr>
    </w:p>
    <w:p w14:paraId="00EAFF91" w14:textId="77777777" w:rsidR="002D2329" w:rsidRPr="006C3521" w:rsidRDefault="002D2329" w:rsidP="002D2329">
      <w:pPr>
        <w:rPr>
          <w:b/>
        </w:rPr>
      </w:pPr>
    </w:p>
    <w:p w14:paraId="525AFBB9" w14:textId="77777777" w:rsidR="002D2329" w:rsidRPr="006C3521" w:rsidRDefault="002D2329" w:rsidP="002D2329">
      <w:pPr>
        <w:rPr>
          <w:b/>
        </w:rPr>
      </w:pPr>
    </w:p>
    <w:p w14:paraId="0777BBD5" w14:textId="77777777" w:rsidR="002D2329" w:rsidRPr="006C3521" w:rsidRDefault="002D2329" w:rsidP="002D2329">
      <w:pPr>
        <w:rPr>
          <w:b/>
        </w:rPr>
      </w:pPr>
    </w:p>
    <w:p w14:paraId="176D8E3B" w14:textId="77777777" w:rsidR="002D2329" w:rsidRPr="006C3521" w:rsidRDefault="002D2329" w:rsidP="002D2329">
      <w:pPr>
        <w:rPr>
          <w:b/>
        </w:rPr>
      </w:pPr>
    </w:p>
    <w:p w14:paraId="60F63B95" w14:textId="77777777" w:rsidR="002D2329" w:rsidRPr="006C3521" w:rsidRDefault="002D2329" w:rsidP="002D2329"/>
    <w:p w14:paraId="6158AE46" w14:textId="77777777" w:rsidR="002D2329" w:rsidRPr="006C3521" w:rsidRDefault="002D2329" w:rsidP="002D2329"/>
    <w:p w14:paraId="2222A9E5" w14:textId="77777777" w:rsidR="002D2329" w:rsidRPr="006C3521" w:rsidRDefault="002D2329" w:rsidP="002D2329"/>
    <w:p w14:paraId="26DC7056" w14:textId="167B2CA2" w:rsidR="002D2329" w:rsidRPr="001F3404" w:rsidRDefault="002D2329" w:rsidP="002D2329">
      <w:r w:rsidRPr="001F3404">
        <w:t xml:space="preserve">KULK </w:t>
      </w:r>
      <w:r w:rsidR="001A1548" w:rsidRPr="001A1548">
        <w:t>17093/2025</w:t>
      </w:r>
    </w:p>
    <w:p w14:paraId="71CE6B48" w14:textId="01F20178" w:rsidR="002D2329" w:rsidRPr="00133576" w:rsidRDefault="002D2329" w:rsidP="002D2329">
      <w:r w:rsidRPr="001F3404">
        <w:t xml:space="preserve">V Liberci dne </w:t>
      </w:r>
      <w:r w:rsidR="001A1548" w:rsidRPr="001A1548">
        <w:t>14</w:t>
      </w:r>
      <w:r w:rsidR="001F3404" w:rsidRPr="001A1548">
        <w:t>. 3. 202</w:t>
      </w:r>
      <w:r w:rsidR="001A1548" w:rsidRPr="001A1548">
        <w:t>5</w:t>
      </w:r>
    </w:p>
    <w:p w14:paraId="16F69368" w14:textId="7F8C9F9D" w:rsidR="002D2329" w:rsidRDefault="002D2329">
      <w:r>
        <w:br w:type="page"/>
      </w:r>
    </w:p>
    <w:p w14:paraId="699AFFE2" w14:textId="45DE621F" w:rsidR="002D2329" w:rsidRDefault="002D2329" w:rsidP="00D4269E">
      <w:pPr>
        <w:pStyle w:val="Nadpis1"/>
      </w:pPr>
      <w:r w:rsidRPr="00CC779E">
        <w:lastRenderedPageBreak/>
        <w:t>Úvod</w:t>
      </w:r>
    </w:p>
    <w:p w14:paraId="7F67204A" w14:textId="77777777" w:rsidR="00D554EE" w:rsidRPr="00D554EE" w:rsidRDefault="00D554EE" w:rsidP="00D554EE"/>
    <w:p w14:paraId="7A5772C4" w14:textId="13A70133" w:rsidR="002D2329" w:rsidRPr="00D511A1" w:rsidRDefault="002D2329" w:rsidP="00D4269E">
      <w:pPr>
        <w:jc w:val="both"/>
      </w:pPr>
      <w:r w:rsidRPr="00D511A1">
        <w:t>Odbor školství, mládeže, tělovýchovy a sportu Krajského úřadu Libereckého kraje (dále jen OŠMTS) vydává v přenesené působnosti Krajskou metodiku rozpisu přímých výdajů právnických osob vykonávajících činnost škol a školských zařízení zřizovaných obcemi v Libereckém kraji a Libereckým krajem (dále školy a školská zařízení) pro rok 202</w:t>
      </w:r>
      <w:r w:rsidR="00B41456">
        <w:t>5</w:t>
      </w:r>
      <w:r w:rsidRPr="00D511A1">
        <w:t>. Nedílnou součástí je Soustava krajských normativů.</w:t>
      </w:r>
    </w:p>
    <w:p w14:paraId="07DAB81A" w14:textId="77777777" w:rsidR="002D2329" w:rsidRPr="00D511A1" w:rsidRDefault="002D2329" w:rsidP="00D4269E">
      <w:pPr>
        <w:ind w:left="284" w:hanging="284"/>
        <w:jc w:val="both"/>
      </w:pPr>
    </w:p>
    <w:p w14:paraId="6CD56A53" w14:textId="77777777" w:rsidR="002D2329" w:rsidRPr="00D511A1" w:rsidRDefault="002D2329" w:rsidP="00D4269E">
      <w:pPr>
        <w:jc w:val="both"/>
      </w:pPr>
      <w:r w:rsidRPr="00D511A1">
        <w:t>Krajská metodika rozpisu přímých výdajů vychází:</w:t>
      </w:r>
    </w:p>
    <w:p w14:paraId="525CEAC9" w14:textId="77777777" w:rsidR="002D2329" w:rsidRPr="00D511A1" w:rsidRDefault="002D2329" w:rsidP="00D4269E">
      <w:pPr>
        <w:numPr>
          <w:ilvl w:val="0"/>
          <w:numId w:val="1"/>
        </w:numPr>
        <w:ind w:left="284" w:hanging="284"/>
        <w:jc w:val="both"/>
      </w:pPr>
      <w:r w:rsidRPr="00D511A1">
        <w:t>ze zákona č. 561/2004 Sb., o předškolním, základním, středním, vyšším odborném a jiném vzdělávání (školský zákon), ve znění pozdějších předpisů (dále jen školský zákon), zejména § 160 až § 163;</w:t>
      </w:r>
    </w:p>
    <w:p w14:paraId="51A80BF1" w14:textId="25A27D37" w:rsidR="002D2329" w:rsidRPr="00D511A1" w:rsidRDefault="002D2329" w:rsidP="00D4269E">
      <w:pPr>
        <w:numPr>
          <w:ilvl w:val="0"/>
          <w:numId w:val="1"/>
        </w:numPr>
        <w:ind w:left="284" w:hanging="284"/>
        <w:jc w:val="both"/>
      </w:pPr>
      <w:r w:rsidRPr="00D511A1">
        <w:t>z vyhlášky č. 310/2018 Sb., o krajských normativech, ve znění pozdějších předpisů (dále jen vyhláška);</w:t>
      </w:r>
    </w:p>
    <w:p w14:paraId="36DEFE1C" w14:textId="57EA9EE7" w:rsidR="002D2329" w:rsidRPr="00D511A1" w:rsidRDefault="002D2329" w:rsidP="00F07CC9">
      <w:pPr>
        <w:numPr>
          <w:ilvl w:val="0"/>
          <w:numId w:val="1"/>
        </w:numPr>
        <w:tabs>
          <w:tab w:val="clear" w:pos="502"/>
          <w:tab w:val="num" w:pos="284"/>
        </w:tabs>
        <w:ind w:left="284" w:hanging="284"/>
        <w:jc w:val="both"/>
      </w:pPr>
      <w:r w:rsidRPr="00D511A1">
        <w:t xml:space="preserve">ze směrnice Ministerstva školství, mládeže a tělovýchovy </w:t>
      </w:r>
      <w:r w:rsidR="00147F45" w:rsidRPr="00D511A1">
        <w:t xml:space="preserve">(dále jen MŠMT) </w:t>
      </w:r>
      <w:r w:rsidRPr="00D511A1">
        <w:t xml:space="preserve">č. j. </w:t>
      </w:r>
      <w:r w:rsidR="00725F97" w:rsidRPr="00725F97">
        <w:t>MSMT-12077/2024</w:t>
      </w:r>
      <w:r w:rsidRPr="00D511A1">
        <w:t>, o</w:t>
      </w:r>
      <w:r w:rsidR="00464869" w:rsidRPr="00D511A1">
        <w:t> </w:t>
      </w:r>
      <w:r w:rsidRPr="00D511A1">
        <w:t xml:space="preserve">závazných zásadách pro rozpisy a návrhy rozpisů finančních prostředků státního rozpočtu krajskými úřady a obecními úřady obcí s rozšířenou </w:t>
      </w:r>
      <w:r w:rsidR="00725F97" w:rsidRPr="00D511A1">
        <w:t>působností, ve</w:t>
      </w:r>
      <w:r w:rsidR="00125EC2" w:rsidRPr="00D511A1">
        <w:t xml:space="preserve"> znění pozdějších předpisů </w:t>
      </w:r>
      <w:r w:rsidRPr="00D511A1">
        <w:t>(dále jen směrnice);</w:t>
      </w:r>
    </w:p>
    <w:p w14:paraId="23C73EAE" w14:textId="49E09D88" w:rsidR="002D2329" w:rsidRPr="00725F97" w:rsidRDefault="002D2329" w:rsidP="00725F97">
      <w:pPr>
        <w:numPr>
          <w:ilvl w:val="0"/>
          <w:numId w:val="1"/>
        </w:numPr>
        <w:ind w:left="284" w:hanging="284"/>
        <w:jc w:val="both"/>
      </w:pPr>
      <w:r w:rsidRPr="00D511A1">
        <w:t xml:space="preserve">z Principů rozpisu rozpočtu přímých výdajů </w:t>
      </w:r>
      <w:proofErr w:type="spellStart"/>
      <w:r w:rsidRPr="00D511A1">
        <w:t>RgŠ</w:t>
      </w:r>
      <w:proofErr w:type="spellEnd"/>
      <w:r w:rsidRPr="00D511A1">
        <w:t xml:space="preserve"> územních samosprávných celků na rok </w:t>
      </w:r>
      <w:r w:rsidRPr="00725F97">
        <w:t>202</w:t>
      </w:r>
      <w:r w:rsidR="00725F97" w:rsidRPr="00725F97">
        <w:t>5</w:t>
      </w:r>
      <w:r w:rsidRPr="00725F97">
        <w:t xml:space="preserve"> </w:t>
      </w:r>
      <w:r w:rsidR="000C78C9" w:rsidRPr="00725F97">
        <w:t xml:space="preserve">čj. </w:t>
      </w:r>
      <w:r w:rsidR="00725F97" w:rsidRPr="00725F97">
        <w:t>MSMT-635/2025-2</w:t>
      </w:r>
      <w:r w:rsidRPr="00725F97">
        <w:t xml:space="preserve"> (tj. rozpis rozpočtu z úrovně MŠMT)</w:t>
      </w:r>
      <w:r w:rsidR="002D0E66" w:rsidRPr="00725F97">
        <w:t>,</w:t>
      </w:r>
    </w:p>
    <w:p w14:paraId="2DBC7021" w14:textId="77777777" w:rsidR="002D2329" w:rsidRPr="00D511A1" w:rsidRDefault="002D2329" w:rsidP="00D4269E">
      <w:pPr>
        <w:jc w:val="both"/>
      </w:pPr>
    </w:p>
    <w:p w14:paraId="31267070" w14:textId="4A1A1C0C" w:rsidR="002D2329" w:rsidRPr="00D511A1" w:rsidRDefault="002D2329" w:rsidP="00D4269E">
      <w:pPr>
        <w:jc w:val="both"/>
      </w:pPr>
      <w:r w:rsidRPr="00D511A1">
        <w:t>Dle této metodiky postupuje OŠMTS, obecní úřady obcí s rozšířenou působností, školy a</w:t>
      </w:r>
      <w:r w:rsidR="00464869" w:rsidRPr="00D511A1">
        <w:t> </w:t>
      </w:r>
      <w:r w:rsidRPr="00D511A1">
        <w:t>školská zařízení.</w:t>
      </w:r>
    </w:p>
    <w:p w14:paraId="2AB45959" w14:textId="692FCEE5" w:rsidR="002D2329" w:rsidRDefault="002D2329" w:rsidP="00D4269E">
      <w:pPr>
        <w:jc w:val="both"/>
      </w:pPr>
    </w:p>
    <w:p w14:paraId="63D46AF2" w14:textId="77777777" w:rsidR="002D2329" w:rsidRPr="006C3521" w:rsidRDefault="002D2329" w:rsidP="00D4269E">
      <w:pPr>
        <w:jc w:val="both"/>
      </w:pPr>
    </w:p>
    <w:p w14:paraId="6717A7EB" w14:textId="6E46E594" w:rsidR="002D2329" w:rsidRDefault="002D2329" w:rsidP="00D4269E">
      <w:pPr>
        <w:pStyle w:val="Nadpis1"/>
      </w:pPr>
      <w:r w:rsidRPr="006C3521">
        <w:t xml:space="preserve">Hlavní aspekty rozpisu rozpočtu </w:t>
      </w:r>
      <w:r>
        <w:t>v roce 202</w:t>
      </w:r>
      <w:r w:rsidR="00B41456">
        <w:t>5</w:t>
      </w:r>
    </w:p>
    <w:p w14:paraId="250B8447" w14:textId="77777777" w:rsidR="00D554EE" w:rsidRPr="00D554EE" w:rsidRDefault="00D554EE" w:rsidP="00D554EE"/>
    <w:p w14:paraId="6E034878" w14:textId="2991AEC2" w:rsidR="002D2329" w:rsidRDefault="002D2329" w:rsidP="00D4269E">
      <w:pPr>
        <w:jc w:val="both"/>
      </w:pPr>
      <w:r w:rsidRPr="00B32DBE">
        <w:t>Prostřednictvím republikových normativů jsou v roce 202</w:t>
      </w:r>
      <w:r w:rsidR="00725F97">
        <w:t>5</w:t>
      </w:r>
      <w:r w:rsidRPr="00B32DBE">
        <w:t xml:space="preserve"> z rozpočtu MŠMT vyčleněného pro</w:t>
      </w:r>
      <w:r w:rsidR="00464869">
        <w:t> </w:t>
      </w:r>
      <w:proofErr w:type="spellStart"/>
      <w:r w:rsidRPr="00B32DBE">
        <w:t>RgŠ</w:t>
      </w:r>
      <w:proofErr w:type="spellEnd"/>
      <w:r w:rsidRPr="00B32DBE">
        <w:t xml:space="preserve"> ÚSC rozepisovány do rozpočtů jednotlivých krajů pouze finanční prostředky </w:t>
      </w:r>
      <w:r w:rsidR="00464869">
        <w:t>pro </w:t>
      </w:r>
      <w:r w:rsidRPr="00B32DBE">
        <w:t>školská zařízení s výjimkou finančních prostředků na pedagogickou práci školních družin.</w:t>
      </w:r>
    </w:p>
    <w:p w14:paraId="0CDF6725" w14:textId="038586C6" w:rsidR="00D511A1" w:rsidRDefault="00D511A1" w:rsidP="00D4269E">
      <w:pPr>
        <w:jc w:val="both"/>
      </w:pPr>
    </w:p>
    <w:p w14:paraId="21910656" w14:textId="4D9AB47D" w:rsidR="00220B68" w:rsidRDefault="00220B68" w:rsidP="00220B68">
      <w:pPr>
        <w:jc w:val="both"/>
      </w:pPr>
      <w:r>
        <w:t xml:space="preserve">Schválený celkový rozpočet z úrovně MŠMT pro </w:t>
      </w:r>
      <w:proofErr w:type="spellStart"/>
      <w:r>
        <w:t>RgŠ</w:t>
      </w:r>
      <w:proofErr w:type="spellEnd"/>
      <w:r>
        <w:t xml:space="preserve"> ÚSC pro rok 202</w:t>
      </w:r>
      <w:r w:rsidR="00725F97">
        <w:t>5</w:t>
      </w:r>
      <w:r>
        <w:t xml:space="preserve"> oproti roku 202</w:t>
      </w:r>
      <w:r w:rsidR="00725F97">
        <w:t>4</w:t>
      </w:r>
      <w:r>
        <w:t xml:space="preserve"> zohledňuje:</w:t>
      </w:r>
    </w:p>
    <w:p w14:paraId="6B9469FE" w14:textId="77777777" w:rsidR="00725F97" w:rsidRPr="00725F97" w:rsidRDefault="00725F97" w:rsidP="00725F97">
      <w:pPr>
        <w:jc w:val="both"/>
      </w:pPr>
    </w:p>
    <w:p w14:paraId="37B3151C" w14:textId="77777777" w:rsidR="00725F97" w:rsidRPr="00725F97" w:rsidRDefault="00725F97" w:rsidP="00725F97">
      <w:pPr>
        <w:numPr>
          <w:ilvl w:val="0"/>
          <w:numId w:val="1"/>
        </w:numPr>
        <w:tabs>
          <w:tab w:val="clear" w:pos="502"/>
        </w:tabs>
        <w:ind w:left="284" w:hanging="284"/>
        <w:jc w:val="both"/>
      </w:pPr>
      <w:r w:rsidRPr="00725F97">
        <w:t xml:space="preserve">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(tzv. </w:t>
      </w:r>
      <w:proofErr w:type="spellStart"/>
      <w:r w:rsidRPr="00725F97">
        <w:t>PHmax</w:t>
      </w:r>
      <w:proofErr w:type="spellEnd"/>
      <w:r w:rsidRPr="00725F97">
        <w:t xml:space="preserve">) související i s nárůstem počtu žáků, </w:t>
      </w:r>
    </w:p>
    <w:p w14:paraId="6C3D92EF" w14:textId="77777777" w:rsidR="00725F97" w:rsidRPr="00725F97" w:rsidRDefault="00725F97" w:rsidP="00725F97">
      <w:pPr>
        <w:numPr>
          <w:ilvl w:val="0"/>
          <w:numId w:val="1"/>
        </w:numPr>
        <w:tabs>
          <w:tab w:val="clear" w:pos="502"/>
        </w:tabs>
        <w:ind w:left="284" w:hanging="284"/>
        <w:jc w:val="both"/>
      </w:pPr>
      <w:r w:rsidRPr="00725F97">
        <w:t xml:space="preserve">zvýšení objemu prostředků na platy učitelů na výši, která zajišťuje průměrný měsíční plat učitelů na úrovni 130 % průměrného platu v národním hospodářství v ČR v roce 2023, </w:t>
      </w:r>
    </w:p>
    <w:p w14:paraId="113ACAC5" w14:textId="77777777" w:rsidR="00725F97" w:rsidRPr="00725F97" w:rsidRDefault="00725F97" w:rsidP="00725F97">
      <w:pPr>
        <w:numPr>
          <w:ilvl w:val="0"/>
          <w:numId w:val="1"/>
        </w:numPr>
        <w:tabs>
          <w:tab w:val="clear" w:pos="502"/>
        </w:tabs>
        <w:ind w:left="284" w:hanging="284"/>
        <w:jc w:val="both"/>
      </w:pPr>
      <w:r w:rsidRPr="00725F97">
        <w:t xml:space="preserve">zvýšení objemu prostředků na platy ostatních pedagogických pracovníků (tj. kromě učitelů) a nepedagogických zaměstnanců o 5 %. </w:t>
      </w:r>
    </w:p>
    <w:p w14:paraId="1708DDED" w14:textId="77777777" w:rsidR="00725F97" w:rsidRDefault="00725F97" w:rsidP="00220B68">
      <w:pPr>
        <w:jc w:val="both"/>
      </w:pPr>
    </w:p>
    <w:p w14:paraId="4229D73E" w14:textId="77777777" w:rsidR="00220B68" w:rsidRDefault="00220B68" w:rsidP="00220B68">
      <w:pPr>
        <w:jc w:val="both"/>
      </w:pPr>
    </w:p>
    <w:p w14:paraId="1145137C" w14:textId="764A4D37" w:rsidR="002D2329" w:rsidRDefault="002D2329" w:rsidP="00D4269E">
      <w:pPr>
        <w:pStyle w:val="Nadpis1"/>
      </w:pPr>
      <w:r w:rsidRPr="00A221FF">
        <w:t>Rozpis rozpočtu pro školy a pro pedagogické pracovníky školních družin pro</w:t>
      </w:r>
      <w:r w:rsidR="00FD07D0">
        <w:t> </w:t>
      </w:r>
      <w:r w:rsidRPr="00A221FF">
        <w:t>rok</w:t>
      </w:r>
      <w:r w:rsidR="00FD07D0">
        <w:t> </w:t>
      </w:r>
      <w:r w:rsidRPr="00A221FF">
        <w:t>202</w:t>
      </w:r>
      <w:r w:rsidR="00EA20AE">
        <w:t>5</w:t>
      </w:r>
    </w:p>
    <w:p w14:paraId="1EE535BC" w14:textId="77777777" w:rsidR="00D554EE" w:rsidRPr="00D554EE" w:rsidRDefault="00D554EE" w:rsidP="00D554EE"/>
    <w:p w14:paraId="220942EE" w14:textId="77777777" w:rsidR="002D2329" w:rsidRDefault="002D2329" w:rsidP="00D4269E">
      <w:pPr>
        <w:jc w:val="both"/>
        <w:rPr>
          <w:szCs w:val="28"/>
        </w:rPr>
      </w:pPr>
      <w:r w:rsidRPr="002C7FEF">
        <w:rPr>
          <w:szCs w:val="28"/>
        </w:rPr>
        <w:t>Ministerstvo</w:t>
      </w:r>
      <w:r>
        <w:rPr>
          <w:szCs w:val="28"/>
        </w:rPr>
        <w:t xml:space="preserve"> školství, mládeže a tělovýchovy</w:t>
      </w:r>
      <w:r w:rsidRPr="002C7FEF">
        <w:rPr>
          <w:szCs w:val="28"/>
        </w:rPr>
        <w:t xml:space="preserve"> stanov</w:t>
      </w:r>
      <w:r>
        <w:rPr>
          <w:szCs w:val="28"/>
        </w:rPr>
        <w:t>ilo</w:t>
      </w:r>
      <w:r w:rsidRPr="002C7FEF">
        <w:rPr>
          <w:szCs w:val="28"/>
        </w:rPr>
        <w:t xml:space="preserve"> pro jednotlivé právnické osoby vykonávající činnost školy nebo školského zařízení uvedené v § 161 odst. 1 školského zákona, tj. </w:t>
      </w:r>
      <w:r>
        <w:rPr>
          <w:szCs w:val="28"/>
        </w:rPr>
        <w:t xml:space="preserve">pro </w:t>
      </w:r>
      <w:r w:rsidRPr="002C7FEF">
        <w:rPr>
          <w:szCs w:val="28"/>
        </w:rPr>
        <w:t xml:space="preserve">mateřské školy, základní školy, střední školy, konzervatoře, vyšší odborné školy, </w:t>
      </w:r>
      <w:r w:rsidRPr="002C7FEF">
        <w:rPr>
          <w:szCs w:val="28"/>
        </w:rPr>
        <w:lastRenderedPageBreak/>
        <w:t xml:space="preserve">základní umělecké školy a </w:t>
      </w:r>
      <w:r>
        <w:rPr>
          <w:szCs w:val="28"/>
        </w:rPr>
        <w:t xml:space="preserve">pro pedagogickou práci </w:t>
      </w:r>
      <w:r w:rsidRPr="002C7FEF">
        <w:rPr>
          <w:szCs w:val="28"/>
        </w:rPr>
        <w:t>školní</w:t>
      </w:r>
      <w:r>
        <w:rPr>
          <w:szCs w:val="28"/>
        </w:rPr>
        <w:t>ch</w:t>
      </w:r>
      <w:r w:rsidRPr="002C7FEF">
        <w:rPr>
          <w:szCs w:val="28"/>
        </w:rPr>
        <w:t xml:space="preserve"> družin, výši finančních prostředků na vzdělávání a školské služby podle § 161 odst. 3 písm. a) až h) a § 161 odst. 4 na kalendářní rok.</w:t>
      </w:r>
    </w:p>
    <w:p w14:paraId="585977DB" w14:textId="77777777" w:rsidR="002D2329" w:rsidRDefault="002D2329" w:rsidP="00D4269E">
      <w:pPr>
        <w:jc w:val="both"/>
        <w:rPr>
          <w:szCs w:val="28"/>
        </w:rPr>
      </w:pPr>
    </w:p>
    <w:p w14:paraId="7B57ECC3" w14:textId="436EC304" w:rsidR="002D2329" w:rsidRDefault="002D2329" w:rsidP="00D4269E">
      <w:pPr>
        <w:jc w:val="both"/>
        <w:rPr>
          <w:szCs w:val="28"/>
        </w:rPr>
      </w:pPr>
      <w:r>
        <w:rPr>
          <w:szCs w:val="28"/>
        </w:rPr>
        <w:t>Finanční prostředky pro školy a pedagogickou práci školních družin souhrnně pro Liberecký kraj jsou pro rok 202</w:t>
      </w:r>
      <w:r w:rsidR="00FD07D0">
        <w:rPr>
          <w:szCs w:val="28"/>
        </w:rPr>
        <w:t>5</w:t>
      </w:r>
      <w:r>
        <w:rPr>
          <w:szCs w:val="28"/>
        </w:rPr>
        <w:t xml:space="preserve"> stanoveny následovně:</w:t>
      </w:r>
    </w:p>
    <w:p w14:paraId="50049903" w14:textId="77777777" w:rsidR="002A08C3" w:rsidRDefault="002A08C3" w:rsidP="00D4269E">
      <w:pPr>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3"/>
        <w:gridCol w:w="2313"/>
        <w:gridCol w:w="2312"/>
        <w:gridCol w:w="2312"/>
      </w:tblGrid>
      <w:tr w:rsidR="00D4501D" w:rsidRPr="005D23CA" w14:paraId="056A5CE9" w14:textId="77777777" w:rsidTr="00477FE0">
        <w:trPr>
          <w:trHeight w:val="283"/>
          <w:tblHeader/>
        </w:trPr>
        <w:tc>
          <w:tcPr>
            <w:tcW w:w="1171" w:type="pct"/>
            <w:noWrap/>
            <w:vAlign w:val="center"/>
            <w:hideMark/>
          </w:tcPr>
          <w:p w14:paraId="7722FDBB" w14:textId="42E91623" w:rsidR="00D4501D" w:rsidRPr="005D23CA" w:rsidRDefault="00D4501D" w:rsidP="00D4269E">
            <w:pPr>
              <w:jc w:val="both"/>
              <w:rPr>
                <w:b/>
                <w:bCs/>
                <w:sz w:val="22"/>
                <w:szCs w:val="22"/>
              </w:rPr>
            </w:pPr>
            <w:r w:rsidRPr="005D23CA">
              <w:rPr>
                <w:b/>
                <w:bCs/>
                <w:sz w:val="22"/>
                <w:szCs w:val="22"/>
              </w:rPr>
              <w:t>Kraj</w:t>
            </w:r>
          </w:p>
        </w:tc>
        <w:tc>
          <w:tcPr>
            <w:tcW w:w="1276" w:type="pct"/>
            <w:noWrap/>
            <w:vAlign w:val="center"/>
            <w:hideMark/>
          </w:tcPr>
          <w:p w14:paraId="59F4201D" w14:textId="66649793" w:rsidR="00477FE0" w:rsidRDefault="00D4501D" w:rsidP="00477FE0">
            <w:pPr>
              <w:jc w:val="center"/>
              <w:rPr>
                <w:b/>
                <w:bCs/>
                <w:sz w:val="22"/>
                <w:szCs w:val="22"/>
              </w:rPr>
            </w:pPr>
            <w:r w:rsidRPr="005D23CA">
              <w:rPr>
                <w:b/>
                <w:bCs/>
                <w:sz w:val="22"/>
                <w:szCs w:val="22"/>
              </w:rPr>
              <w:t>NIV celkem</w:t>
            </w:r>
          </w:p>
          <w:p w14:paraId="146CE9BE" w14:textId="3E2CDBAC"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3FF3BB72" w14:textId="3C17E215" w:rsidR="00477FE0" w:rsidRDefault="00D4501D" w:rsidP="00477FE0">
            <w:pPr>
              <w:jc w:val="center"/>
              <w:rPr>
                <w:b/>
                <w:bCs/>
                <w:sz w:val="22"/>
                <w:szCs w:val="22"/>
              </w:rPr>
            </w:pPr>
            <w:r w:rsidRPr="005D23CA">
              <w:rPr>
                <w:b/>
                <w:bCs/>
                <w:sz w:val="22"/>
                <w:szCs w:val="22"/>
              </w:rPr>
              <w:t>Prostředky na platy</w:t>
            </w:r>
          </w:p>
          <w:p w14:paraId="314FECC6" w14:textId="39F67BAF"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1176E1A6" w14:textId="7B4906E2" w:rsidR="00477FE0" w:rsidRDefault="00D4501D" w:rsidP="00477FE0">
            <w:pPr>
              <w:jc w:val="center"/>
              <w:rPr>
                <w:b/>
                <w:bCs/>
                <w:sz w:val="22"/>
                <w:szCs w:val="22"/>
              </w:rPr>
            </w:pPr>
            <w:r w:rsidRPr="005D23CA">
              <w:rPr>
                <w:b/>
                <w:bCs/>
                <w:sz w:val="22"/>
                <w:szCs w:val="22"/>
              </w:rPr>
              <w:t>ONIV</w:t>
            </w:r>
          </w:p>
          <w:p w14:paraId="623B3E18" w14:textId="6D1D208E" w:rsidR="00D4501D" w:rsidRPr="005D23CA" w:rsidRDefault="00D4501D" w:rsidP="00477FE0">
            <w:pPr>
              <w:jc w:val="center"/>
              <w:rPr>
                <w:b/>
                <w:bCs/>
                <w:sz w:val="22"/>
                <w:szCs w:val="22"/>
              </w:rPr>
            </w:pPr>
            <w:r w:rsidRPr="005D23CA">
              <w:rPr>
                <w:b/>
                <w:bCs/>
                <w:sz w:val="22"/>
                <w:szCs w:val="22"/>
              </w:rPr>
              <w:t>v Kč</w:t>
            </w:r>
          </w:p>
        </w:tc>
      </w:tr>
      <w:tr w:rsidR="00D4501D" w:rsidRPr="005D23CA" w14:paraId="31C8C71E" w14:textId="77777777" w:rsidTr="00477FE0">
        <w:trPr>
          <w:trHeight w:val="283"/>
        </w:trPr>
        <w:tc>
          <w:tcPr>
            <w:tcW w:w="1171" w:type="pct"/>
            <w:shd w:val="clear" w:color="auto" w:fill="FFFFFF"/>
            <w:noWrap/>
            <w:vAlign w:val="bottom"/>
            <w:hideMark/>
          </w:tcPr>
          <w:p w14:paraId="5C7B1283" w14:textId="77777777" w:rsidR="00D4501D" w:rsidRPr="005D23CA" w:rsidRDefault="00D4501D" w:rsidP="00D4269E">
            <w:pPr>
              <w:jc w:val="both"/>
              <w:rPr>
                <w:bCs/>
                <w:sz w:val="22"/>
                <w:szCs w:val="22"/>
              </w:rPr>
            </w:pPr>
            <w:r w:rsidRPr="005D23CA">
              <w:rPr>
                <w:bCs/>
                <w:sz w:val="22"/>
                <w:szCs w:val="22"/>
              </w:rPr>
              <w:t>Liberecký kraj</w:t>
            </w:r>
          </w:p>
        </w:tc>
        <w:tc>
          <w:tcPr>
            <w:tcW w:w="1276" w:type="pct"/>
            <w:shd w:val="clear" w:color="auto" w:fill="auto"/>
            <w:noWrap/>
            <w:vAlign w:val="center"/>
          </w:tcPr>
          <w:p w14:paraId="78820A72" w14:textId="74F39315" w:rsidR="00D4501D" w:rsidRPr="005D23CA" w:rsidRDefault="00BF7967" w:rsidP="00477FE0">
            <w:pPr>
              <w:jc w:val="right"/>
              <w:rPr>
                <w:sz w:val="22"/>
                <w:szCs w:val="22"/>
              </w:rPr>
            </w:pPr>
            <w:r w:rsidRPr="00BF7967">
              <w:rPr>
                <w:sz w:val="22"/>
                <w:szCs w:val="22"/>
              </w:rPr>
              <w:t>6 943 456 783</w:t>
            </w:r>
          </w:p>
        </w:tc>
        <w:tc>
          <w:tcPr>
            <w:tcW w:w="1276" w:type="pct"/>
            <w:shd w:val="clear" w:color="auto" w:fill="auto"/>
            <w:noWrap/>
            <w:vAlign w:val="center"/>
          </w:tcPr>
          <w:p w14:paraId="2FD7B5F8" w14:textId="31520EB4" w:rsidR="00D4501D" w:rsidRPr="005D23CA" w:rsidRDefault="00BF7967" w:rsidP="00477FE0">
            <w:pPr>
              <w:jc w:val="right"/>
              <w:rPr>
                <w:sz w:val="22"/>
                <w:szCs w:val="22"/>
              </w:rPr>
            </w:pPr>
            <w:r w:rsidRPr="00BF7967">
              <w:rPr>
                <w:sz w:val="22"/>
                <w:szCs w:val="22"/>
              </w:rPr>
              <w:t>5 096 248 707</w:t>
            </w:r>
          </w:p>
        </w:tc>
        <w:tc>
          <w:tcPr>
            <w:tcW w:w="1276" w:type="pct"/>
            <w:shd w:val="clear" w:color="auto" w:fill="auto"/>
            <w:noWrap/>
            <w:vAlign w:val="center"/>
          </w:tcPr>
          <w:p w14:paraId="016CBCFF" w14:textId="62DEBE35" w:rsidR="00D4501D" w:rsidRPr="005D23CA" w:rsidRDefault="00BF7967" w:rsidP="00477FE0">
            <w:pPr>
              <w:jc w:val="right"/>
              <w:rPr>
                <w:sz w:val="22"/>
                <w:szCs w:val="22"/>
              </w:rPr>
            </w:pPr>
            <w:r w:rsidRPr="00BF7967">
              <w:rPr>
                <w:sz w:val="22"/>
                <w:szCs w:val="22"/>
              </w:rPr>
              <w:t>73 713 515</w:t>
            </w:r>
          </w:p>
        </w:tc>
      </w:tr>
    </w:tbl>
    <w:p w14:paraId="7E8BA23C" w14:textId="77777777" w:rsidR="002D2329" w:rsidRPr="00D4068B" w:rsidRDefault="002D2329" w:rsidP="00D4269E">
      <w:pPr>
        <w:jc w:val="both"/>
      </w:pPr>
    </w:p>
    <w:p w14:paraId="4DDBDDEB" w14:textId="06C8C87E" w:rsidR="002D2329" w:rsidRDefault="002D2329" w:rsidP="00D4269E">
      <w:pPr>
        <w:jc w:val="both"/>
      </w:pPr>
      <w:r>
        <w:t>Podrobný ro</w:t>
      </w:r>
      <w:r w:rsidRPr="0070441A">
        <w:t>zpis rozpočtu pro školy a pro pedagogické pracovníky školních družin pro rok 202</w:t>
      </w:r>
      <w:r w:rsidR="00A34D3F">
        <w:t>5</w:t>
      </w:r>
      <w:r>
        <w:t xml:space="preserve"> je uveden samostatně v materiálu MŠMT</w:t>
      </w:r>
      <w:r w:rsidR="005667C5">
        <w:t xml:space="preserve"> </w:t>
      </w:r>
      <w:hyperlink r:id="rId8" w:history="1">
        <w:r w:rsidR="00EA20AE" w:rsidRPr="00EA20AE">
          <w:rPr>
            <w:rStyle w:val="Hypertextovodkaz"/>
          </w:rPr>
          <w:t>Finanční prostředky stanovené ministerstvem pro školy a pedagogickou práci školních družin, které jsou zřízené krajem, obcí, nebo dobrovolným svazkem obcí v roce 2025, MŠMT ČR</w:t>
        </w:r>
      </w:hyperlink>
      <w:r w:rsidR="00757AE6">
        <w:t>.</w:t>
      </w:r>
    </w:p>
    <w:p w14:paraId="5F141E6E" w14:textId="77777777" w:rsidR="00BF7967" w:rsidRDefault="00BF7967" w:rsidP="00D4269E">
      <w:pPr>
        <w:jc w:val="both"/>
      </w:pPr>
    </w:p>
    <w:p w14:paraId="06DD5F9C" w14:textId="3413D0EA" w:rsidR="002D2329" w:rsidRDefault="00BF7967" w:rsidP="002F0BEF">
      <w:pPr>
        <w:jc w:val="both"/>
      </w:pPr>
      <w:r w:rsidRPr="00BF7967">
        <w:t>Normativy pro nepedagogické zaměstnance jsou stanoveny tak, aby zohledňovaly navrhovaný převod odpovědnosti za financování nepedagogické práce ve školách a školských zařízeních zřizovaných krajem, obcí nebo dobrovolným svazkem obcí na jejich zřizovatele, tj. na kraje a obce, od 1. září 2025</w:t>
      </w:r>
      <w:r w:rsidR="002F0BEF">
        <w:t xml:space="preserve">. </w:t>
      </w:r>
      <w:r w:rsidR="002F0BEF" w:rsidRPr="002F0BEF">
        <w:t>Jedná se o pozměňovací návrh podaný výboru pro vědu, vzdělání, kulturu, mládež a tělovýchovu Poslanecké sněmovny Parlamentu České republiky V-5878 ke sněmovnímu tisku 829 (vládní návrh zákona, kterým se mění zákon č. 561/2004 Sb., o předškolním, základním, středním, vyšším odborném a jiném vzdělávání (školský zákon), ve znění pozdějších předpisů, a některé další zákony)</w:t>
      </w:r>
      <w:r w:rsidR="002F0BEF">
        <w:t>.</w:t>
      </w:r>
    </w:p>
    <w:p w14:paraId="45A695D3" w14:textId="77777777" w:rsidR="002F0BEF" w:rsidRDefault="002F0BEF" w:rsidP="002F0BEF">
      <w:pPr>
        <w:jc w:val="both"/>
      </w:pPr>
    </w:p>
    <w:p w14:paraId="6A5F0E64" w14:textId="3281AE98" w:rsidR="002F0BEF" w:rsidRDefault="002F0BEF" w:rsidP="002F0BEF">
      <w:pPr>
        <w:jc w:val="both"/>
      </w:pPr>
      <w:r w:rsidRPr="002F0BEF">
        <w:t>Normativy pro ONIV jsou stanoveny tak, aby zohledňovaly navrhovaný převod odpovědnosti za financování ONIV ve školách a školských zařízeních zřizovaných krajem, obcí nebo dobrovolným svazkem obcí na jejich zřizovatele, tj. na kraje a obce, od 1. září 2025.</w:t>
      </w:r>
      <w:r>
        <w:t xml:space="preserve"> </w:t>
      </w:r>
      <w:r w:rsidRPr="002F0BEF">
        <w:t>Jedná se o pozměňovací návrh podaný výboru pro vědu, vzdělání, kulturu, mládež a tělovýchovu Poslanecké sněmovny Parlamentu České republiky V-5878 ke sněmovnímu tisku 829 (vládní návrh zákona, kterým se mění zákon č. 561/2004 Sb., o předškolním, základním, středním, vyšším odborném a jiném vzdělávání (školský zákon), ve znění pozdějších předpisů, a některé další zákony).</w:t>
      </w:r>
    </w:p>
    <w:p w14:paraId="2D31EDB8" w14:textId="77777777" w:rsidR="00D554EE" w:rsidRPr="00B32DBE" w:rsidRDefault="00D554EE" w:rsidP="00D4269E">
      <w:pPr>
        <w:jc w:val="both"/>
      </w:pPr>
    </w:p>
    <w:p w14:paraId="75A991FA" w14:textId="6F796469" w:rsidR="002D2329" w:rsidRDefault="002D2329" w:rsidP="00D4269E">
      <w:pPr>
        <w:pStyle w:val="Nadpis1"/>
      </w:pPr>
      <w:r w:rsidRPr="00B32DBE">
        <w:t xml:space="preserve">Rozpis finančních prostředků z úrovně MŠMT do rozpočtů krajů prostřednictvím </w:t>
      </w:r>
      <w:r w:rsidR="00885312">
        <w:t>republikových normativů</w:t>
      </w:r>
    </w:p>
    <w:p w14:paraId="1F0E15AB" w14:textId="77777777" w:rsidR="00D554EE" w:rsidRPr="00D554EE" w:rsidRDefault="00D554EE" w:rsidP="00D554EE"/>
    <w:p w14:paraId="05520767" w14:textId="7C4D3CD1" w:rsidR="002D2329" w:rsidRPr="00B32DBE" w:rsidRDefault="002D2329" w:rsidP="00D4269E">
      <w:pPr>
        <w:jc w:val="both"/>
      </w:pPr>
      <w:r w:rsidRPr="00B32DBE">
        <w:t xml:space="preserve">Republikové normativy podle § 161a a § 161b školského zákona </w:t>
      </w:r>
      <w:r w:rsidR="00885312">
        <w:t xml:space="preserve">(dále RN) </w:t>
      </w:r>
      <w:r w:rsidRPr="00B32DBE">
        <w:t xml:space="preserve">stanovuje </w:t>
      </w:r>
      <w:r w:rsidR="00AB5DC9">
        <w:t>MŠMT</w:t>
      </w:r>
      <w:r w:rsidRPr="00B32DBE">
        <w:t xml:space="preserve"> jako roční výši výdajů připadajících na jednu rodinnou skupinu dětského domova, jedno lůžko kapacity ostatního školského zařízení pro výkon ústavní výchovy, ochranné výchovy, nebo školského zařízení pro preventivně výchovnou péči, jednoho ubytovaného ve</w:t>
      </w:r>
      <w:r w:rsidR="00464869">
        <w:t> </w:t>
      </w:r>
      <w:r w:rsidRPr="00B32DBE">
        <w:t xml:space="preserve">školském zařízení podle § 117 odst. 1 písm. b) školského zákona, jedno </w:t>
      </w:r>
      <w:bookmarkStart w:id="0" w:name="_Hlk25139660"/>
      <w:r w:rsidRPr="00B32DBE">
        <w:t>dítě, žáka nebo studenta v mateřské a základní škole a v denní formě vzdělávání ve střední škole, konzervatoři a ve vyšší odborné škole</w:t>
      </w:r>
      <w:bookmarkEnd w:id="0"/>
      <w:r w:rsidRPr="00B32DBE">
        <w:t>. Součástí republikových normativů je také vyjádření limitu počtu zaměstnanců připadajících na příslušnou jednotku výkonu.</w:t>
      </w:r>
    </w:p>
    <w:p w14:paraId="6E64E6BB" w14:textId="77777777" w:rsidR="002A08C3" w:rsidRDefault="002A08C3" w:rsidP="00D4269E">
      <w:pPr>
        <w:jc w:val="both"/>
      </w:pPr>
    </w:p>
    <w:p w14:paraId="36F2BD54" w14:textId="71E3A97B" w:rsidR="002D2329" w:rsidRPr="00B32DBE" w:rsidRDefault="002D2329" w:rsidP="00D4269E">
      <w:pPr>
        <w:jc w:val="both"/>
      </w:pPr>
      <w:r w:rsidRPr="00B32DBE">
        <w:t>Do objemu neinvestičních výdajů určeného republikovými normativy jsou zahrnuty výdaje na</w:t>
      </w:r>
      <w:r w:rsidR="00464869">
        <w:t> </w:t>
      </w:r>
      <w:r w:rsidRPr="00B32DBE">
        <w:t>školské služby s výjimkou pedagogické práce ve školních družinách, které poskytují například zařízení školního stravování, školská poradenská zaříjení, domovy mládeže, internáty, zařízení pro zájmové vzdělávání, dětské domovy a další.</w:t>
      </w:r>
    </w:p>
    <w:p w14:paraId="45EDE329" w14:textId="77777777" w:rsidR="002A08C3" w:rsidRDefault="002A08C3" w:rsidP="00D4269E">
      <w:pPr>
        <w:jc w:val="both"/>
      </w:pPr>
    </w:p>
    <w:p w14:paraId="1956213A" w14:textId="1D144A2A" w:rsidR="002D2329" w:rsidRPr="00B32DBE" w:rsidRDefault="002D2329" w:rsidP="00D4269E">
      <w:pPr>
        <w:jc w:val="both"/>
      </w:pPr>
      <w:r w:rsidRPr="00B32DBE">
        <w:t xml:space="preserve">Republikové normativy slouží pro rozpis finančních prostředků státního rozpočtu do rozpočtů jednotlivých krajů. K rozpisu z rozpočtů krajů do rozpočtů jednotlivých právnických osob vykonávajících činnost školských zařízení pak slouží </w:t>
      </w:r>
      <w:r w:rsidR="00464869">
        <w:t>krajské normativy (§ 161a odst. </w:t>
      </w:r>
      <w:r w:rsidRPr="00B32DBE">
        <w:t>2</w:t>
      </w:r>
      <w:r w:rsidR="00464869">
        <w:t xml:space="preserve"> </w:t>
      </w:r>
      <w:r w:rsidRPr="00B32DBE">
        <w:t>a</w:t>
      </w:r>
      <w:r w:rsidR="00464869">
        <w:t> </w:t>
      </w:r>
      <w:r w:rsidRPr="00B32DBE">
        <w:t>§ 161b odst. 2 školského zákona), jejichž stanovení a použití je v přenesené působnosti výkonu státní správy krajských úřadů. Členění krajských normativů, ukazatele rozhodné pro</w:t>
      </w:r>
      <w:r w:rsidR="00464869">
        <w:t> </w:t>
      </w:r>
      <w:r w:rsidRPr="00B32DBE">
        <w:t>jejich stanovení apod. stanoví vyhláška č. 310/2018 Sb., o krajských normativech</w:t>
      </w:r>
      <w:r>
        <w:t>, v platném znění</w:t>
      </w:r>
      <w:r w:rsidRPr="00B32DBE">
        <w:t>.</w:t>
      </w:r>
    </w:p>
    <w:p w14:paraId="18455C27" w14:textId="77777777" w:rsidR="002D2329" w:rsidRPr="00B32DBE" w:rsidRDefault="002D2329" w:rsidP="00D4269E">
      <w:pPr>
        <w:jc w:val="both"/>
      </w:pPr>
    </w:p>
    <w:p w14:paraId="37ED12D8" w14:textId="77777777" w:rsidR="002D2329" w:rsidRPr="002B1102" w:rsidRDefault="002D2329" w:rsidP="00D4269E">
      <w:pPr>
        <w:pStyle w:val="Nadpis2"/>
      </w:pPr>
      <w:r w:rsidRPr="002B1102">
        <w:t>Výkony</w:t>
      </w:r>
    </w:p>
    <w:p w14:paraId="1CF8B7AC" w14:textId="6BF22F6D" w:rsidR="002D2329" w:rsidRPr="00B32DBE" w:rsidRDefault="002D2329" w:rsidP="00D4269E">
      <w:pPr>
        <w:jc w:val="both"/>
      </w:pPr>
      <w:r w:rsidRPr="00B32DBE">
        <w:t xml:space="preserve">Od roku 2020 </w:t>
      </w:r>
      <w:r w:rsidR="00AB5DC9">
        <w:t>MŠMT</w:t>
      </w:r>
      <w:r w:rsidRPr="00B32DBE">
        <w:t xml:space="preserve"> stanovuje republikové normativy podle § 161a odst. 1 a</w:t>
      </w:r>
      <w:r w:rsidR="00464869">
        <w:t> </w:t>
      </w:r>
      <w:r w:rsidRPr="00B32DBE">
        <w:t>§ 161b odst. 1 zákona č. 101/20</w:t>
      </w:r>
      <w:r w:rsidR="00464869">
        <w:t>17 Sb. na tyto jednotky výkonu:</w:t>
      </w:r>
    </w:p>
    <w:p w14:paraId="0CAAF4BD" w14:textId="77777777" w:rsidR="002D2329" w:rsidRPr="00B32DBE" w:rsidRDefault="002D2329" w:rsidP="00D4269E">
      <w:pPr>
        <w:jc w:val="both"/>
      </w:pPr>
    </w:p>
    <w:p w14:paraId="157BB36E" w14:textId="77777777" w:rsidR="002D2329" w:rsidRPr="00B32DBE" w:rsidRDefault="002D2329" w:rsidP="00D4269E">
      <w:pPr>
        <w:numPr>
          <w:ilvl w:val="0"/>
          <w:numId w:val="1"/>
        </w:numPr>
        <w:ind w:left="284" w:hanging="284"/>
        <w:jc w:val="both"/>
      </w:pPr>
      <w:r w:rsidRPr="00B32DBE">
        <w:t>1 rodinná skupina dětského domova,</w:t>
      </w:r>
    </w:p>
    <w:p w14:paraId="459F425A" w14:textId="77777777" w:rsidR="002D2329" w:rsidRPr="00B32DBE" w:rsidRDefault="002D2329" w:rsidP="00D4269E">
      <w:pPr>
        <w:numPr>
          <w:ilvl w:val="0"/>
          <w:numId w:val="1"/>
        </w:numPr>
        <w:ind w:left="284" w:hanging="284"/>
        <w:jc w:val="both"/>
      </w:pPr>
      <w:r w:rsidRPr="00B32DBE">
        <w:t>1 ubytovaný v internátu,</w:t>
      </w:r>
    </w:p>
    <w:p w14:paraId="09C143CD" w14:textId="77777777" w:rsidR="002D2329" w:rsidRPr="00B32DBE" w:rsidRDefault="002D2329" w:rsidP="00D4269E">
      <w:pPr>
        <w:numPr>
          <w:ilvl w:val="0"/>
          <w:numId w:val="1"/>
        </w:numPr>
        <w:ind w:left="284" w:hanging="284"/>
        <w:jc w:val="both"/>
      </w:pPr>
      <w:r w:rsidRPr="00B32DBE">
        <w:t>1 ubytovaný v domově mládeže,</w:t>
      </w:r>
    </w:p>
    <w:p w14:paraId="5652BF6D" w14:textId="77777777" w:rsidR="002D2329" w:rsidRPr="00B32DBE" w:rsidRDefault="002D2329" w:rsidP="00D4269E">
      <w:pPr>
        <w:numPr>
          <w:ilvl w:val="0"/>
          <w:numId w:val="1"/>
        </w:numPr>
        <w:ind w:left="284" w:hanging="284"/>
        <w:jc w:val="both"/>
      </w:pPr>
      <w:r w:rsidRPr="00B32DBE">
        <w:t>1 dítě, žák, student.</w:t>
      </w:r>
    </w:p>
    <w:p w14:paraId="3F869C07" w14:textId="77777777" w:rsidR="002D2329" w:rsidRPr="00B32DBE" w:rsidRDefault="002D2329" w:rsidP="00D4269E">
      <w:pPr>
        <w:jc w:val="both"/>
      </w:pPr>
    </w:p>
    <w:p w14:paraId="2A1C93CF" w14:textId="77777777" w:rsidR="002D2329" w:rsidRPr="00B32DBE" w:rsidRDefault="002D2329" w:rsidP="00D4269E">
      <w:pPr>
        <w:jc w:val="both"/>
      </w:pPr>
      <w:r w:rsidRPr="00B32DBE">
        <w:t>V případě Libereckého kraje jsou počty jednotek výkonu RN následující:</w:t>
      </w:r>
    </w:p>
    <w:p w14:paraId="255F28D1" w14:textId="77777777" w:rsidR="002D2329" w:rsidRPr="00B32DBE" w:rsidRDefault="002D2329" w:rsidP="00D4269E">
      <w:pPr>
        <w:jc w:val="both"/>
      </w:pPr>
    </w:p>
    <w:tbl>
      <w:tblPr>
        <w:tblStyle w:val="Mkatabulky"/>
        <w:tblW w:w="0" w:type="auto"/>
        <w:tblLook w:val="04A0" w:firstRow="1" w:lastRow="0" w:firstColumn="1" w:lastColumn="0" w:noHBand="0" w:noVBand="1"/>
      </w:tblPr>
      <w:tblGrid>
        <w:gridCol w:w="3229"/>
        <w:gridCol w:w="1108"/>
        <w:gridCol w:w="1109"/>
        <w:gridCol w:w="1109"/>
      </w:tblGrid>
      <w:tr w:rsidR="002F0BEF" w:rsidRPr="00FD07D0" w14:paraId="1582691B" w14:textId="15F8AB8D" w:rsidTr="00FD07D0">
        <w:trPr>
          <w:trHeight w:val="300"/>
        </w:trPr>
        <w:tc>
          <w:tcPr>
            <w:tcW w:w="0" w:type="auto"/>
            <w:noWrap/>
          </w:tcPr>
          <w:p w14:paraId="4EADB1BE" w14:textId="77777777" w:rsidR="002F0BEF" w:rsidRPr="00FD07D0" w:rsidRDefault="002F0BEF" w:rsidP="0002024A">
            <w:pPr>
              <w:jc w:val="both"/>
              <w:rPr>
                <w:b/>
                <w:sz w:val="22"/>
                <w:szCs w:val="22"/>
              </w:rPr>
            </w:pPr>
            <w:r w:rsidRPr="00FD07D0">
              <w:rPr>
                <w:b/>
                <w:sz w:val="22"/>
                <w:szCs w:val="22"/>
              </w:rPr>
              <w:t>jednotka výkonu pro RN</w:t>
            </w:r>
          </w:p>
        </w:tc>
        <w:tc>
          <w:tcPr>
            <w:tcW w:w="1108" w:type="dxa"/>
            <w:vAlign w:val="center"/>
          </w:tcPr>
          <w:p w14:paraId="3DDD059D" w14:textId="59F0C5D4" w:rsidR="002F0BEF" w:rsidRPr="00FD07D0" w:rsidRDefault="002F0BEF" w:rsidP="0002024A">
            <w:pPr>
              <w:jc w:val="center"/>
              <w:rPr>
                <w:b/>
                <w:color w:val="595959" w:themeColor="text1" w:themeTint="A6"/>
                <w:sz w:val="22"/>
                <w:szCs w:val="22"/>
              </w:rPr>
            </w:pPr>
            <w:r w:rsidRPr="00FD07D0">
              <w:rPr>
                <w:b/>
                <w:color w:val="595959" w:themeColor="text1" w:themeTint="A6"/>
                <w:sz w:val="22"/>
                <w:szCs w:val="22"/>
              </w:rPr>
              <w:t>2023</w:t>
            </w:r>
          </w:p>
        </w:tc>
        <w:tc>
          <w:tcPr>
            <w:tcW w:w="1109" w:type="dxa"/>
            <w:noWrap/>
            <w:vAlign w:val="center"/>
          </w:tcPr>
          <w:p w14:paraId="2BBD3AB8" w14:textId="1986E3AD" w:rsidR="002F0BEF" w:rsidRPr="00FD07D0" w:rsidRDefault="002F0BEF" w:rsidP="0002024A">
            <w:pPr>
              <w:jc w:val="center"/>
              <w:rPr>
                <w:b/>
                <w:color w:val="595959" w:themeColor="text1" w:themeTint="A6"/>
                <w:sz w:val="22"/>
                <w:szCs w:val="22"/>
              </w:rPr>
            </w:pPr>
            <w:r w:rsidRPr="00FD07D0">
              <w:rPr>
                <w:b/>
                <w:color w:val="595959" w:themeColor="text1" w:themeTint="A6"/>
                <w:sz w:val="22"/>
                <w:szCs w:val="22"/>
              </w:rPr>
              <w:t>2024</w:t>
            </w:r>
          </w:p>
        </w:tc>
        <w:tc>
          <w:tcPr>
            <w:tcW w:w="1109" w:type="dxa"/>
          </w:tcPr>
          <w:p w14:paraId="7FD9F6C4" w14:textId="38F8C5C6" w:rsidR="002F0BEF" w:rsidRPr="00FD07D0" w:rsidRDefault="002F0BEF" w:rsidP="0002024A">
            <w:pPr>
              <w:jc w:val="center"/>
              <w:rPr>
                <w:b/>
                <w:sz w:val="22"/>
                <w:szCs w:val="22"/>
              </w:rPr>
            </w:pPr>
            <w:r w:rsidRPr="00FD07D0">
              <w:rPr>
                <w:b/>
                <w:sz w:val="22"/>
                <w:szCs w:val="22"/>
              </w:rPr>
              <w:t>2025</w:t>
            </w:r>
          </w:p>
        </w:tc>
      </w:tr>
      <w:tr w:rsidR="002F0BEF" w:rsidRPr="00FD07D0" w14:paraId="5143DA4C" w14:textId="67DCC665" w:rsidTr="00FD07D0">
        <w:trPr>
          <w:trHeight w:val="300"/>
        </w:trPr>
        <w:tc>
          <w:tcPr>
            <w:tcW w:w="0" w:type="auto"/>
            <w:noWrap/>
            <w:hideMark/>
          </w:tcPr>
          <w:p w14:paraId="4706F67E" w14:textId="77777777" w:rsidR="002F0BEF" w:rsidRPr="00FD07D0" w:rsidRDefault="002F0BEF" w:rsidP="0002024A">
            <w:pPr>
              <w:jc w:val="both"/>
              <w:rPr>
                <w:sz w:val="22"/>
                <w:szCs w:val="22"/>
              </w:rPr>
            </w:pPr>
            <w:r w:rsidRPr="00FD07D0">
              <w:rPr>
                <w:sz w:val="22"/>
                <w:szCs w:val="22"/>
              </w:rPr>
              <w:t>rodinná skupina dětského domova</w:t>
            </w:r>
          </w:p>
        </w:tc>
        <w:tc>
          <w:tcPr>
            <w:tcW w:w="1108" w:type="dxa"/>
            <w:vAlign w:val="center"/>
          </w:tcPr>
          <w:p w14:paraId="55894AF2" w14:textId="04E22F7C"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29,00</w:t>
            </w:r>
          </w:p>
        </w:tc>
        <w:tc>
          <w:tcPr>
            <w:tcW w:w="1109" w:type="dxa"/>
            <w:noWrap/>
            <w:vAlign w:val="center"/>
          </w:tcPr>
          <w:p w14:paraId="1D1532A0" w14:textId="30E587E6"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29,00</w:t>
            </w:r>
          </w:p>
        </w:tc>
        <w:tc>
          <w:tcPr>
            <w:tcW w:w="1109" w:type="dxa"/>
            <w:vAlign w:val="center"/>
          </w:tcPr>
          <w:p w14:paraId="1BB40103" w14:textId="736093C8" w:rsidR="002F0BEF" w:rsidRPr="00FD07D0" w:rsidRDefault="002F0BEF" w:rsidP="002F0BEF">
            <w:pPr>
              <w:jc w:val="right"/>
              <w:rPr>
                <w:color w:val="000000"/>
                <w:sz w:val="22"/>
                <w:szCs w:val="22"/>
              </w:rPr>
            </w:pPr>
            <w:r w:rsidRPr="00FD07D0">
              <w:rPr>
                <w:color w:val="000000"/>
                <w:sz w:val="22"/>
                <w:szCs w:val="22"/>
              </w:rPr>
              <w:t>26,00</w:t>
            </w:r>
          </w:p>
        </w:tc>
      </w:tr>
      <w:tr w:rsidR="002F0BEF" w:rsidRPr="00FD07D0" w14:paraId="635492B5" w14:textId="63978E47" w:rsidTr="00FD07D0">
        <w:trPr>
          <w:trHeight w:val="300"/>
        </w:trPr>
        <w:tc>
          <w:tcPr>
            <w:tcW w:w="0" w:type="auto"/>
            <w:noWrap/>
            <w:hideMark/>
          </w:tcPr>
          <w:p w14:paraId="331A7BF6" w14:textId="77777777" w:rsidR="002F0BEF" w:rsidRPr="00FD07D0" w:rsidRDefault="002F0BEF" w:rsidP="0002024A">
            <w:pPr>
              <w:jc w:val="both"/>
              <w:rPr>
                <w:sz w:val="22"/>
                <w:szCs w:val="22"/>
              </w:rPr>
            </w:pPr>
            <w:r w:rsidRPr="00FD07D0">
              <w:rPr>
                <w:sz w:val="22"/>
                <w:szCs w:val="22"/>
              </w:rPr>
              <w:t>ubytovaný v internátu</w:t>
            </w:r>
          </w:p>
        </w:tc>
        <w:tc>
          <w:tcPr>
            <w:tcW w:w="1108" w:type="dxa"/>
            <w:vAlign w:val="center"/>
          </w:tcPr>
          <w:p w14:paraId="02A50ACE" w14:textId="744456E0"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85,00</w:t>
            </w:r>
          </w:p>
        </w:tc>
        <w:tc>
          <w:tcPr>
            <w:tcW w:w="1109" w:type="dxa"/>
            <w:noWrap/>
            <w:vAlign w:val="center"/>
          </w:tcPr>
          <w:p w14:paraId="4F9A08E8" w14:textId="0F26AF0E"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78,00</w:t>
            </w:r>
          </w:p>
        </w:tc>
        <w:tc>
          <w:tcPr>
            <w:tcW w:w="1109" w:type="dxa"/>
            <w:vAlign w:val="center"/>
          </w:tcPr>
          <w:p w14:paraId="483A30DB" w14:textId="78127D71" w:rsidR="002F0BEF" w:rsidRPr="00FD07D0" w:rsidRDefault="002F0BEF" w:rsidP="002F0BEF">
            <w:pPr>
              <w:jc w:val="right"/>
              <w:rPr>
                <w:color w:val="000000"/>
                <w:sz w:val="22"/>
                <w:szCs w:val="22"/>
              </w:rPr>
            </w:pPr>
            <w:r w:rsidRPr="00FD07D0">
              <w:rPr>
                <w:color w:val="000000"/>
                <w:sz w:val="22"/>
                <w:szCs w:val="22"/>
              </w:rPr>
              <w:t>86,00</w:t>
            </w:r>
          </w:p>
        </w:tc>
      </w:tr>
      <w:tr w:rsidR="002F0BEF" w:rsidRPr="00FD07D0" w14:paraId="4F399CFF" w14:textId="7B710D15" w:rsidTr="00FD07D0">
        <w:trPr>
          <w:trHeight w:val="300"/>
        </w:trPr>
        <w:tc>
          <w:tcPr>
            <w:tcW w:w="0" w:type="auto"/>
            <w:noWrap/>
            <w:hideMark/>
          </w:tcPr>
          <w:p w14:paraId="3E8D0F35" w14:textId="77777777" w:rsidR="002F0BEF" w:rsidRPr="00FD07D0" w:rsidRDefault="002F0BEF" w:rsidP="0002024A">
            <w:pPr>
              <w:jc w:val="both"/>
              <w:rPr>
                <w:sz w:val="22"/>
                <w:szCs w:val="22"/>
              </w:rPr>
            </w:pPr>
            <w:r w:rsidRPr="00FD07D0">
              <w:rPr>
                <w:sz w:val="22"/>
                <w:szCs w:val="22"/>
              </w:rPr>
              <w:t>ubytovaný v domově mládeže</w:t>
            </w:r>
          </w:p>
        </w:tc>
        <w:tc>
          <w:tcPr>
            <w:tcW w:w="1108" w:type="dxa"/>
            <w:vAlign w:val="center"/>
          </w:tcPr>
          <w:p w14:paraId="51FD44D7" w14:textId="7CC5BD5E"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1 550,00</w:t>
            </w:r>
          </w:p>
        </w:tc>
        <w:tc>
          <w:tcPr>
            <w:tcW w:w="1109" w:type="dxa"/>
            <w:noWrap/>
            <w:vAlign w:val="center"/>
          </w:tcPr>
          <w:p w14:paraId="793DB444" w14:textId="2609B83F"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1 585,00</w:t>
            </w:r>
          </w:p>
        </w:tc>
        <w:tc>
          <w:tcPr>
            <w:tcW w:w="1109" w:type="dxa"/>
            <w:vAlign w:val="center"/>
          </w:tcPr>
          <w:p w14:paraId="3B0FE26E" w14:textId="4AC9FF43" w:rsidR="002F0BEF" w:rsidRPr="00FD07D0" w:rsidRDefault="002F0BEF" w:rsidP="002F0BEF">
            <w:pPr>
              <w:jc w:val="right"/>
              <w:rPr>
                <w:color w:val="000000"/>
                <w:sz w:val="22"/>
                <w:szCs w:val="22"/>
              </w:rPr>
            </w:pPr>
            <w:r w:rsidRPr="00FD07D0">
              <w:rPr>
                <w:color w:val="000000"/>
                <w:sz w:val="22"/>
                <w:szCs w:val="22"/>
              </w:rPr>
              <w:t>1606,00</w:t>
            </w:r>
          </w:p>
        </w:tc>
      </w:tr>
      <w:tr w:rsidR="002F0BEF" w:rsidRPr="00FD07D0" w14:paraId="196D23E7" w14:textId="6B6E5CEA" w:rsidTr="00FD07D0">
        <w:trPr>
          <w:trHeight w:val="315"/>
        </w:trPr>
        <w:tc>
          <w:tcPr>
            <w:tcW w:w="0" w:type="auto"/>
            <w:noWrap/>
            <w:hideMark/>
          </w:tcPr>
          <w:p w14:paraId="7048CC0F" w14:textId="77777777" w:rsidR="002F0BEF" w:rsidRPr="00FD07D0" w:rsidRDefault="002F0BEF" w:rsidP="0002024A">
            <w:pPr>
              <w:jc w:val="both"/>
              <w:rPr>
                <w:sz w:val="22"/>
                <w:szCs w:val="22"/>
              </w:rPr>
            </w:pPr>
            <w:r w:rsidRPr="00FD07D0">
              <w:rPr>
                <w:sz w:val="22"/>
                <w:szCs w:val="22"/>
              </w:rPr>
              <w:t>dítě, žák, student</w:t>
            </w:r>
          </w:p>
        </w:tc>
        <w:tc>
          <w:tcPr>
            <w:tcW w:w="1108" w:type="dxa"/>
            <w:vAlign w:val="center"/>
          </w:tcPr>
          <w:p w14:paraId="45BF5D13" w14:textId="48FEB1DD"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73 073,80</w:t>
            </w:r>
          </w:p>
        </w:tc>
        <w:tc>
          <w:tcPr>
            <w:tcW w:w="1109" w:type="dxa"/>
            <w:noWrap/>
            <w:vAlign w:val="center"/>
          </w:tcPr>
          <w:p w14:paraId="4C52A412" w14:textId="11C8A17D" w:rsidR="002F0BEF" w:rsidRPr="00FD07D0" w:rsidRDefault="002F0BEF" w:rsidP="00477FE0">
            <w:pPr>
              <w:jc w:val="right"/>
              <w:rPr>
                <w:color w:val="595959" w:themeColor="text1" w:themeTint="A6"/>
                <w:sz w:val="22"/>
                <w:szCs w:val="22"/>
              </w:rPr>
            </w:pPr>
            <w:r w:rsidRPr="00FD07D0">
              <w:rPr>
                <w:color w:val="595959" w:themeColor="text1" w:themeTint="A6"/>
                <w:sz w:val="22"/>
                <w:szCs w:val="22"/>
              </w:rPr>
              <w:t>72 971,15</w:t>
            </w:r>
          </w:p>
        </w:tc>
        <w:tc>
          <w:tcPr>
            <w:tcW w:w="1109" w:type="dxa"/>
            <w:vAlign w:val="center"/>
          </w:tcPr>
          <w:p w14:paraId="03EF7DBD" w14:textId="0B3C4C2B" w:rsidR="002F0BEF" w:rsidRPr="00FD07D0" w:rsidRDefault="002F0BEF" w:rsidP="002F0BEF">
            <w:pPr>
              <w:jc w:val="right"/>
              <w:rPr>
                <w:color w:val="000000"/>
                <w:sz w:val="22"/>
                <w:szCs w:val="22"/>
              </w:rPr>
            </w:pPr>
            <w:r w:rsidRPr="00FD07D0">
              <w:rPr>
                <w:color w:val="000000"/>
                <w:sz w:val="22"/>
                <w:szCs w:val="22"/>
              </w:rPr>
              <w:t>72</w:t>
            </w:r>
            <w:r w:rsidR="00FD07D0" w:rsidRPr="00FD07D0">
              <w:rPr>
                <w:color w:val="000000"/>
                <w:sz w:val="22"/>
                <w:szCs w:val="22"/>
              </w:rPr>
              <w:t xml:space="preserve"> </w:t>
            </w:r>
            <w:r w:rsidRPr="00FD07D0">
              <w:rPr>
                <w:color w:val="000000"/>
                <w:sz w:val="22"/>
                <w:szCs w:val="22"/>
              </w:rPr>
              <w:t>924,65</w:t>
            </w:r>
          </w:p>
        </w:tc>
      </w:tr>
    </w:tbl>
    <w:p w14:paraId="0B0714D6" w14:textId="77777777" w:rsidR="002D2329" w:rsidRPr="00B32DBE" w:rsidRDefault="002D2329" w:rsidP="00D4269E">
      <w:pPr>
        <w:jc w:val="both"/>
      </w:pPr>
    </w:p>
    <w:p w14:paraId="29B706E6" w14:textId="77777777" w:rsidR="002D2329" w:rsidRPr="00B32DBE" w:rsidRDefault="002D2329" w:rsidP="00D4269E">
      <w:pPr>
        <w:pStyle w:val="Nadpis2"/>
        <w:rPr>
          <w:bCs/>
          <w:iCs/>
        </w:rPr>
      </w:pPr>
      <w:r w:rsidRPr="00B32DBE">
        <w:t>Republikové normativy</w:t>
      </w:r>
    </w:p>
    <w:p w14:paraId="6840B8CB" w14:textId="11867E2D" w:rsidR="00AB5DC9" w:rsidRPr="00AB5DC9" w:rsidRDefault="00AB5DC9" w:rsidP="00AB5DC9">
      <w:pPr>
        <w:jc w:val="both"/>
        <w:rPr>
          <w:color w:val="000000"/>
        </w:rPr>
      </w:pPr>
      <w:r w:rsidRPr="00AB5DC9">
        <w:rPr>
          <w:color w:val="000000"/>
        </w:rPr>
        <w:t>Výchozími údaji pro stanovení výše republikových normativů pro rok 202</w:t>
      </w:r>
      <w:r w:rsidR="002F0BEF">
        <w:rPr>
          <w:color w:val="000000"/>
        </w:rPr>
        <w:t>5</w:t>
      </w:r>
      <w:r w:rsidRPr="00AB5DC9">
        <w:rPr>
          <w:color w:val="000000"/>
        </w:rPr>
        <w:t xml:space="preserve"> jsou:</w:t>
      </w:r>
    </w:p>
    <w:p w14:paraId="15FE4321" w14:textId="5FC4F759" w:rsidR="00AB5DC9" w:rsidRPr="00AB5DC9" w:rsidRDefault="00AB5DC9" w:rsidP="00AB5DC9">
      <w:pPr>
        <w:numPr>
          <w:ilvl w:val="0"/>
          <w:numId w:val="1"/>
        </w:numPr>
        <w:ind w:left="284" w:hanging="284"/>
        <w:jc w:val="both"/>
      </w:pPr>
      <w:r w:rsidRPr="00AB5DC9">
        <w:t>počty pedagogických pracovníků a nepedagogických zaměstnanců vykázané v jednotlivých druzích a typech školských zařízení (s výjimkou pedagogických pracovníků školních družin) k 30.</w:t>
      </w:r>
      <w:r w:rsidR="00DF4791">
        <w:t> </w:t>
      </w:r>
      <w:r w:rsidRPr="00AB5DC9">
        <w:t>9.</w:t>
      </w:r>
      <w:r w:rsidR="00DF4791">
        <w:t> </w:t>
      </w:r>
      <w:r w:rsidRPr="00AB5DC9">
        <w:t>202</w:t>
      </w:r>
      <w:r w:rsidR="002F0BEF">
        <w:t>4</w:t>
      </w:r>
      <w:r w:rsidRPr="00AB5DC9">
        <w:t xml:space="preserve"> ve výkazu P</w:t>
      </w:r>
      <w:r w:rsidR="00DF4791">
        <w:t> </w:t>
      </w:r>
      <w:r w:rsidRPr="00AB5DC9">
        <w:t>1-04, o zaměstnancích a mzdových prostředcích v regionálním školství,</w:t>
      </w:r>
    </w:p>
    <w:p w14:paraId="5661F45F" w14:textId="233C8E0F" w:rsidR="00AB5DC9" w:rsidRPr="00AB5DC9" w:rsidRDefault="00AB5DC9" w:rsidP="00AB5DC9">
      <w:pPr>
        <w:numPr>
          <w:ilvl w:val="0"/>
          <w:numId w:val="1"/>
        </w:numPr>
        <w:ind w:left="284" w:hanging="284"/>
        <w:jc w:val="both"/>
      </w:pPr>
      <w:r w:rsidRPr="00AB5DC9">
        <w:t>počty výkonů z příslušných výkonových výkazů vykázaných školskými zařízeními k</w:t>
      </w:r>
      <w:r w:rsidR="00DF4791">
        <w:t> </w:t>
      </w:r>
      <w:r w:rsidRPr="00AB5DC9">
        <w:t>30.</w:t>
      </w:r>
      <w:r w:rsidR="00DF4791">
        <w:t> </w:t>
      </w:r>
      <w:r w:rsidRPr="00AB5DC9">
        <w:t>9.</w:t>
      </w:r>
      <w:r w:rsidR="00DF4791">
        <w:t> </w:t>
      </w:r>
      <w:r w:rsidRPr="00AB5DC9">
        <w:t>202</w:t>
      </w:r>
      <w:r w:rsidR="002F0BEF">
        <w:t>4</w:t>
      </w:r>
      <w:r w:rsidRPr="00AB5DC9">
        <w:t xml:space="preserve">, resp. </w:t>
      </w:r>
      <w:r>
        <w:t>k</w:t>
      </w:r>
      <w:r w:rsidR="00DF4791">
        <w:t> </w:t>
      </w:r>
      <w:r w:rsidRPr="00AB5DC9">
        <w:t>31.</w:t>
      </w:r>
      <w:r w:rsidR="00DF4791">
        <w:t> </w:t>
      </w:r>
      <w:r w:rsidRPr="00AB5DC9">
        <w:t>10.</w:t>
      </w:r>
      <w:r w:rsidR="00DF4791">
        <w:t> </w:t>
      </w:r>
      <w:r w:rsidRPr="00AB5DC9">
        <w:t>202</w:t>
      </w:r>
      <w:r w:rsidR="002F0BEF">
        <w:t>4</w:t>
      </w:r>
      <w:r w:rsidRPr="00AB5DC9">
        <w:t>.</w:t>
      </w:r>
    </w:p>
    <w:p w14:paraId="3E60E3EE" w14:textId="77777777" w:rsidR="00AB5DC9" w:rsidRDefault="00AB5DC9" w:rsidP="00AB5DC9">
      <w:pPr>
        <w:jc w:val="both"/>
        <w:rPr>
          <w:color w:val="000000"/>
        </w:rPr>
      </w:pPr>
    </w:p>
    <w:p w14:paraId="3B7FFBCD" w14:textId="7DFAB8C3" w:rsidR="00AB5DC9" w:rsidRDefault="002F0BEF" w:rsidP="00AB5DC9">
      <w:pPr>
        <w:jc w:val="both"/>
        <w:rPr>
          <w:color w:val="000000"/>
        </w:rPr>
      </w:pPr>
      <w:r w:rsidRPr="002F0BEF">
        <w:rPr>
          <w:color w:val="000000"/>
        </w:rPr>
        <w:t>Průměrný rozepisovaný plat z roku 2024 je u pedagogických pracovníků a nepedagogických zaměstnanců ve školských zařízeních navýšen o 5 %.</w:t>
      </w:r>
    </w:p>
    <w:p w14:paraId="096E0618" w14:textId="77777777" w:rsidR="002F0BEF" w:rsidRDefault="002F0BEF" w:rsidP="00AB5DC9">
      <w:pPr>
        <w:jc w:val="both"/>
        <w:rPr>
          <w:color w:val="000000"/>
        </w:rPr>
      </w:pPr>
    </w:p>
    <w:p w14:paraId="27805193" w14:textId="1A94EF14" w:rsidR="00AB5DC9" w:rsidRDefault="006E6044" w:rsidP="006E6044">
      <w:pPr>
        <w:jc w:val="both"/>
        <w:rPr>
          <w:color w:val="000000"/>
        </w:rPr>
      </w:pPr>
      <w:r w:rsidRPr="006E6044">
        <w:rPr>
          <w:color w:val="000000"/>
        </w:rPr>
        <w:t xml:space="preserve">Republikové normativy pro </w:t>
      </w:r>
      <w:r w:rsidRPr="00372FC9">
        <w:rPr>
          <w:b/>
          <w:bCs/>
          <w:color w:val="000000"/>
        </w:rPr>
        <w:t>nepedagogické zaměstnance a ONIV</w:t>
      </w:r>
      <w:r w:rsidRPr="006E6044">
        <w:rPr>
          <w:color w:val="000000"/>
        </w:rPr>
        <w:t xml:space="preserve"> jsou stanoveny tak, aby zohledňovaly navrhovaný převod odpovědnosti za financování nepedagogické práce ve školách a školských zařízeních zřizovaných krajem, obcí nebo dobrovolným svazkem obcí na jejich zřizovatele, tj. na kraje a obce, od 1. září 2025.</w:t>
      </w:r>
      <w:r>
        <w:rPr>
          <w:color w:val="000000"/>
        </w:rPr>
        <w:t xml:space="preserve"> </w:t>
      </w:r>
      <w:r w:rsidRPr="006E6044">
        <w:rPr>
          <w:color w:val="000000"/>
        </w:rPr>
        <w:t>Jedná se o pozměňovací návrh podaný výboru pro vědu, vzdělání, kulturu, mládež a tělovýchovu Poslanecké sněmovny Parlamentu České republiky V-5878 ke sněmovnímu tisku 829 (vládní návrh zákona, kterým se mění zákon č. 561/2004 Sb., o předškolním, základním, středním, vyšším odborném a jiném vzdělávání (školský zákon), ve znění pozdějších předpisů, a některé další zákony).</w:t>
      </w:r>
    </w:p>
    <w:p w14:paraId="2F567135" w14:textId="77777777" w:rsidR="00416A1D" w:rsidRDefault="00416A1D">
      <w:pPr>
        <w:rPr>
          <w:b/>
          <w:color w:val="000000"/>
        </w:rPr>
      </w:pPr>
      <w:r>
        <w:rPr>
          <w:b/>
          <w:color w:val="000000"/>
        </w:rPr>
        <w:br w:type="page"/>
      </w:r>
    </w:p>
    <w:p w14:paraId="4FC17442" w14:textId="78D427AE" w:rsidR="00796B5F" w:rsidRDefault="002D2329" w:rsidP="00372FC9">
      <w:pPr>
        <w:keepNext/>
        <w:jc w:val="both"/>
        <w:rPr>
          <w:color w:val="000000"/>
        </w:rPr>
      </w:pPr>
      <w:r w:rsidRPr="007F022D">
        <w:rPr>
          <w:b/>
          <w:color w:val="000000"/>
        </w:rPr>
        <w:lastRenderedPageBreak/>
        <w:t>Republikové normativy 202</w:t>
      </w:r>
      <w:r w:rsidR="006E6044">
        <w:rPr>
          <w:b/>
          <w:color w:val="000000"/>
        </w:rPr>
        <w:t>5</w:t>
      </w:r>
      <w:r>
        <w:rPr>
          <w:b/>
          <w:color w:val="000000"/>
        </w:rPr>
        <w:t>:</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4"/>
        <w:gridCol w:w="1481"/>
        <w:gridCol w:w="1481"/>
        <w:gridCol w:w="1481"/>
        <w:gridCol w:w="1477"/>
      </w:tblGrid>
      <w:tr w:rsidR="006E6044" w:rsidRPr="006E6044" w14:paraId="7BABAB4D" w14:textId="77777777" w:rsidTr="006E6044">
        <w:trPr>
          <w:trHeight w:val="585"/>
        </w:trPr>
        <w:tc>
          <w:tcPr>
            <w:tcW w:w="1738" w:type="pct"/>
            <w:shd w:val="clear" w:color="auto" w:fill="auto"/>
            <w:noWrap/>
            <w:vAlign w:val="center"/>
            <w:hideMark/>
          </w:tcPr>
          <w:p w14:paraId="0C1174CC" w14:textId="77777777" w:rsidR="006E6044" w:rsidRPr="006E6044" w:rsidRDefault="006E6044" w:rsidP="006E6044">
            <w:pPr>
              <w:rPr>
                <w:b/>
                <w:bCs/>
                <w:color w:val="000000"/>
                <w:sz w:val="22"/>
                <w:szCs w:val="22"/>
              </w:rPr>
            </w:pPr>
            <w:r w:rsidRPr="006E6044">
              <w:rPr>
                <w:b/>
                <w:bCs/>
                <w:color w:val="000000"/>
                <w:sz w:val="22"/>
                <w:szCs w:val="22"/>
              </w:rPr>
              <w:t>Jednotka výkonu</w:t>
            </w:r>
          </w:p>
        </w:tc>
        <w:tc>
          <w:tcPr>
            <w:tcW w:w="816" w:type="pct"/>
            <w:shd w:val="clear" w:color="auto" w:fill="auto"/>
            <w:noWrap/>
            <w:vAlign w:val="center"/>
            <w:hideMark/>
          </w:tcPr>
          <w:p w14:paraId="40D8629C" w14:textId="77777777" w:rsidR="006E6044" w:rsidRDefault="006E6044" w:rsidP="006E6044">
            <w:pPr>
              <w:jc w:val="center"/>
              <w:rPr>
                <w:b/>
                <w:bCs/>
                <w:color w:val="000000"/>
                <w:sz w:val="22"/>
                <w:szCs w:val="22"/>
              </w:rPr>
            </w:pPr>
            <w:r w:rsidRPr="006E6044">
              <w:rPr>
                <w:b/>
                <w:bCs/>
                <w:color w:val="000000"/>
                <w:sz w:val="22"/>
                <w:szCs w:val="22"/>
              </w:rPr>
              <w:t xml:space="preserve">NIV celkem </w:t>
            </w:r>
          </w:p>
          <w:p w14:paraId="14BA67CA" w14:textId="18424186" w:rsidR="006E6044" w:rsidRPr="006E6044" w:rsidRDefault="006E6044" w:rsidP="006E6044">
            <w:pPr>
              <w:jc w:val="center"/>
              <w:rPr>
                <w:b/>
                <w:bCs/>
                <w:color w:val="000000"/>
                <w:sz w:val="22"/>
                <w:szCs w:val="22"/>
              </w:rPr>
            </w:pPr>
            <w:r w:rsidRPr="006E6044">
              <w:rPr>
                <w:b/>
                <w:bCs/>
                <w:color w:val="000000"/>
                <w:sz w:val="22"/>
                <w:szCs w:val="22"/>
              </w:rPr>
              <w:t>v Kč</w:t>
            </w:r>
          </w:p>
        </w:tc>
        <w:tc>
          <w:tcPr>
            <w:tcW w:w="816" w:type="pct"/>
            <w:shd w:val="clear" w:color="auto" w:fill="auto"/>
            <w:noWrap/>
            <w:vAlign w:val="center"/>
            <w:hideMark/>
          </w:tcPr>
          <w:p w14:paraId="1DE87100" w14:textId="77777777" w:rsidR="006E6044" w:rsidRDefault="006E6044" w:rsidP="006E6044">
            <w:pPr>
              <w:jc w:val="center"/>
              <w:rPr>
                <w:b/>
                <w:bCs/>
                <w:color w:val="000000"/>
                <w:sz w:val="22"/>
                <w:szCs w:val="22"/>
              </w:rPr>
            </w:pPr>
            <w:r w:rsidRPr="006E6044">
              <w:rPr>
                <w:b/>
                <w:bCs/>
                <w:color w:val="000000"/>
                <w:sz w:val="22"/>
                <w:szCs w:val="22"/>
              </w:rPr>
              <w:t xml:space="preserve">Prostředky </w:t>
            </w:r>
          </w:p>
          <w:p w14:paraId="395561CF" w14:textId="77777777" w:rsidR="006E6044" w:rsidRDefault="006E6044" w:rsidP="006E6044">
            <w:pPr>
              <w:jc w:val="center"/>
              <w:rPr>
                <w:b/>
                <w:bCs/>
                <w:color w:val="000000"/>
                <w:sz w:val="22"/>
                <w:szCs w:val="22"/>
              </w:rPr>
            </w:pPr>
            <w:r w:rsidRPr="006E6044">
              <w:rPr>
                <w:b/>
                <w:bCs/>
                <w:color w:val="000000"/>
                <w:sz w:val="22"/>
                <w:szCs w:val="22"/>
              </w:rPr>
              <w:t xml:space="preserve">na platy </w:t>
            </w:r>
          </w:p>
          <w:p w14:paraId="4E2C7444" w14:textId="7943CE7C" w:rsidR="006E6044" w:rsidRPr="006E6044" w:rsidRDefault="006E6044" w:rsidP="006E6044">
            <w:pPr>
              <w:jc w:val="center"/>
              <w:rPr>
                <w:b/>
                <w:bCs/>
                <w:color w:val="000000"/>
                <w:sz w:val="22"/>
                <w:szCs w:val="22"/>
              </w:rPr>
            </w:pPr>
            <w:r w:rsidRPr="006E6044">
              <w:rPr>
                <w:b/>
                <w:bCs/>
                <w:color w:val="000000"/>
                <w:sz w:val="22"/>
                <w:szCs w:val="22"/>
              </w:rPr>
              <w:t>v Kč</w:t>
            </w:r>
          </w:p>
        </w:tc>
        <w:tc>
          <w:tcPr>
            <w:tcW w:w="816" w:type="pct"/>
            <w:shd w:val="clear" w:color="auto" w:fill="auto"/>
            <w:noWrap/>
            <w:vAlign w:val="center"/>
            <w:hideMark/>
          </w:tcPr>
          <w:p w14:paraId="682EC3C5" w14:textId="77777777" w:rsidR="006E6044" w:rsidRDefault="006E6044" w:rsidP="006E6044">
            <w:pPr>
              <w:jc w:val="center"/>
              <w:rPr>
                <w:b/>
                <w:bCs/>
                <w:color w:val="000000"/>
                <w:sz w:val="22"/>
                <w:szCs w:val="22"/>
              </w:rPr>
            </w:pPr>
            <w:r w:rsidRPr="006E6044">
              <w:rPr>
                <w:b/>
                <w:bCs/>
                <w:color w:val="000000"/>
                <w:sz w:val="22"/>
                <w:szCs w:val="22"/>
              </w:rPr>
              <w:t>ONIV celkem</w:t>
            </w:r>
          </w:p>
          <w:p w14:paraId="1A754446" w14:textId="1B96184B" w:rsidR="006E6044" w:rsidRPr="006E6044" w:rsidRDefault="006E6044" w:rsidP="006E6044">
            <w:pPr>
              <w:jc w:val="center"/>
              <w:rPr>
                <w:b/>
                <w:bCs/>
                <w:color w:val="000000"/>
                <w:sz w:val="22"/>
                <w:szCs w:val="22"/>
              </w:rPr>
            </w:pPr>
            <w:r w:rsidRPr="006E6044">
              <w:rPr>
                <w:b/>
                <w:bCs/>
                <w:color w:val="000000"/>
                <w:sz w:val="22"/>
                <w:szCs w:val="22"/>
              </w:rPr>
              <w:t xml:space="preserve"> v Kč</w:t>
            </w:r>
          </w:p>
        </w:tc>
        <w:tc>
          <w:tcPr>
            <w:tcW w:w="816" w:type="pct"/>
            <w:shd w:val="clear" w:color="auto" w:fill="auto"/>
            <w:noWrap/>
            <w:vAlign w:val="center"/>
            <w:hideMark/>
          </w:tcPr>
          <w:p w14:paraId="1FC8F6AA" w14:textId="77777777" w:rsidR="006E6044" w:rsidRPr="006E6044" w:rsidRDefault="006E6044" w:rsidP="006E6044">
            <w:pPr>
              <w:jc w:val="center"/>
              <w:rPr>
                <w:b/>
                <w:bCs/>
                <w:color w:val="000000"/>
                <w:sz w:val="22"/>
                <w:szCs w:val="22"/>
              </w:rPr>
            </w:pPr>
            <w:r w:rsidRPr="006E6044">
              <w:rPr>
                <w:b/>
                <w:bCs/>
                <w:color w:val="000000"/>
                <w:sz w:val="22"/>
                <w:szCs w:val="22"/>
              </w:rPr>
              <w:t>Opravný koeficient</w:t>
            </w:r>
          </w:p>
        </w:tc>
      </w:tr>
      <w:tr w:rsidR="006E6044" w:rsidRPr="006E6044" w14:paraId="1C8B1E2B" w14:textId="77777777" w:rsidTr="006E6044">
        <w:trPr>
          <w:trHeight w:val="300"/>
        </w:trPr>
        <w:tc>
          <w:tcPr>
            <w:tcW w:w="1738" w:type="pct"/>
            <w:shd w:val="clear" w:color="auto" w:fill="auto"/>
            <w:noWrap/>
            <w:vAlign w:val="bottom"/>
            <w:hideMark/>
          </w:tcPr>
          <w:p w14:paraId="03D7971F" w14:textId="77777777" w:rsidR="006E6044" w:rsidRPr="006E6044" w:rsidRDefault="006E6044">
            <w:pPr>
              <w:rPr>
                <w:color w:val="000000"/>
                <w:sz w:val="22"/>
                <w:szCs w:val="22"/>
              </w:rPr>
            </w:pPr>
            <w:r w:rsidRPr="006E6044">
              <w:rPr>
                <w:color w:val="000000"/>
                <w:sz w:val="22"/>
                <w:szCs w:val="22"/>
              </w:rPr>
              <w:t>rodinná skupina dětského domova</w:t>
            </w:r>
          </w:p>
        </w:tc>
        <w:tc>
          <w:tcPr>
            <w:tcW w:w="816" w:type="pct"/>
            <w:shd w:val="clear" w:color="auto" w:fill="auto"/>
            <w:noWrap/>
            <w:vAlign w:val="bottom"/>
            <w:hideMark/>
          </w:tcPr>
          <w:p w14:paraId="00CD3457" w14:textId="77777777" w:rsidR="006E6044" w:rsidRPr="006E6044" w:rsidRDefault="006E6044">
            <w:pPr>
              <w:jc w:val="right"/>
              <w:rPr>
                <w:color w:val="000000"/>
                <w:sz w:val="22"/>
                <w:szCs w:val="22"/>
              </w:rPr>
            </w:pPr>
            <w:r w:rsidRPr="006E6044">
              <w:rPr>
                <w:color w:val="000000"/>
                <w:sz w:val="22"/>
                <w:szCs w:val="22"/>
              </w:rPr>
              <w:t>3 358 326</w:t>
            </w:r>
          </w:p>
        </w:tc>
        <w:tc>
          <w:tcPr>
            <w:tcW w:w="816" w:type="pct"/>
            <w:shd w:val="clear" w:color="auto" w:fill="auto"/>
            <w:noWrap/>
            <w:vAlign w:val="bottom"/>
            <w:hideMark/>
          </w:tcPr>
          <w:p w14:paraId="5B5DAA4C" w14:textId="77777777" w:rsidR="006E6044" w:rsidRPr="006E6044" w:rsidRDefault="006E6044">
            <w:pPr>
              <w:jc w:val="right"/>
              <w:rPr>
                <w:color w:val="000000"/>
                <w:sz w:val="22"/>
                <w:szCs w:val="22"/>
              </w:rPr>
            </w:pPr>
            <w:r w:rsidRPr="006E6044">
              <w:rPr>
                <w:color w:val="000000"/>
                <w:sz w:val="22"/>
                <w:szCs w:val="22"/>
              </w:rPr>
              <w:t>2 481 142</w:t>
            </w:r>
          </w:p>
        </w:tc>
        <w:tc>
          <w:tcPr>
            <w:tcW w:w="816" w:type="pct"/>
            <w:shd w:val="clear" w:color="auto" w:fill="auto"/>
            <w:noWrap/>
            <w:vAlign w:val="bottom"/>
            <w:hideMark/>
          </w:tcPr>
          <w:p w14:paraId="335B0465" w14:textId="77777777" w:rsidR="006E6044" w:rsidRPr="006E6044" w:rsidRDefault="006E6044">
            <w:pPr>
              <w:jc w:val="right"/>
              <w:rPr>
                <w:color w:val="000000"/>
                <w:sz w:val="22"/>
                <w:szCs w:val="22"/>
              </w:rPr>
            </w:pPr>
            <w:r w:rsidRPr="006E6044">
              <w:rPr>
                <w:color w:val="000000"/>
                <w:sz w:val="22"/>
                <w:szCs w:val="22"/>
              </w:rPr>
              <w:t>13 747</w:t>
            </w:r>
          </w:p>
        </w:tc>
        <w:tc>
          <w:tcPr>
            <w:tcW w:w="816" w:type="pct"/>
            <w:shd w:val="clear" w:color="auto" w:fill="auto"/>
            <w:noWrap/>
            <w:vAlign w:val="bottom"/>
            <w:hideMark/>
          </w:tcPr>
          <w:p w14:paraId="45C47361" w14:textId="77777777" w:rsidR="006E6044" w:rsidRPr="006E6044" w:rsidRDefault="006E6044">
            <w:pPr>
              <w:jc w:val="center"/>
              <w:rPr>
                <w:color w:val="000000"/>
                <w:sz w:val="22"/>
                <w:szCs w:val="22"/>
              </w:rPr>
            </w:pPr>
            <w:r w:rsidRPr="006E6044">
              <w:rPr>
                <w:color w:val="000000"/>
                <w:sz w:val="22"/>
                <w:szCs w:val="22"/>
              </w:rPr>
              <w:t>x</w:t>
            </w:r>
          </w:p>
        </w:tc>
      </w:tr>
      <w:tr w:rsidR="006E6044" w:rsidRPr="006E6044" w14:paraId="621B0BB7" w14:textId="77777777" w:rsidTr="006E6044">
        <w:trPr>
          <w:trHeight w:val="300"/>
        </w:trPr>
        <w:tc>
          <w:tcPr>
            <w:tcW w:w="1738" w:type="pct"/>
            <w:shd w:val="clear" w:color="auto" w:fill="auto"/>
            <w:noWrap/>
            <w:vAlign w:val="bottom"/>
            <w:hideMark/>
          </w:tcPr>
          <w:p w14:paraId="20110781" w14:textId="77777777" w:rsidR="006E6044" w:rsidRPr="006E6044" w:rsidRDefault="006E6044">
            <w:pPr>
              <w:rPr>
                <w:color w:val="000000"/>
                <w:sz w:val="22"/>
                <w:szCs w:val="22"/>
              </w:rPr>
            </w:pPr>
            <w:r w:rsidRPr="006E6044">
              <w:rPr>
                <w:color w:val="000000"/>
                <w:sz w:val="22"/>
                <w:szCs w:val="22"/>
              </w:rPr>
              <w:t>ubytovaný v internátu</w:t>
            </w:r>
          </w:p>
        </w:tc>
        <w:tc>
          <w:tcPr>
            <w:tcW w:w="816" w:type="pct"/>
            <w:shd w:val="clear" w:color="auto" w:fill="auto"/>
            <w:noWrap/>
            <w:vAlign w:val="bottom"/>
            <w:hideMark/>
          </w:tcPr>
          <w:p w14:paraId="485995F6" w14:textId="77777777" w:rsidR="006E6044" w:rsidRPr="006E6044" w:rsidRDefault="006E6044">
            <w:pPr>
              <w:jc w:val="right"/>
              <w:rPr>
                <w:color w:val="000000"/>
                <w:sz w:val="22"/>
                <w:szCs w:val="22"/>
              </w:rPr>
            </w:pPr>
            <w:r w:rsidRPr="006E6044">
              <w:rPr>
                <w:color w:val="000000"/>
                <w:sz w:val="22"/>
                <w:szCs w:val="22"/>
              </w:rPr>
              <w:t>152 523</w:t>
            </w:r>
          </w:p>
        </w:tc>
        <w:tc>
          <w:tcPr>
            <w:tcW w:w="816" w:type="pct"/>
            <w:shd w:val="clear" w:color="auto" w:fill="auto"/>
            <w:noWrap/>
            <w:vAlign w:val="bottom"/>
            <w:hideMark/>
          </w:tcPr>
          <w:p w14:paraId="2FDADDC1" w14:textId="77777777" w:rsidR="006E6044" w:rsidRPr="006E6044" w:rsidRDefault="006E6044">
            <w:pPr>
              <w:jc w:val="right"/>
              <w:rPr>
                <w:color w:val="000000"/>
                <w:sz w:val="22"/>
                <w:szCs w:val="22"/>
              </w:rPr>
            </w:pPr>
            <w:r w:rsidRPr="006E6044">
              <w:rPr>
                <w:color w:val="000000"/>
                <w:sz w:val="22"/>
                <w:szCs w:val="22"/>
              </w:rPr>
              <w:t>112 688</w:t>
            </w:r>
          </w:p>
        </w:tc>
        <w:tc>
          <w:tcPr>
            <w:tcW w:w="816" w:type="pct"/>
            <w:shd w:val="clear" w:color="auto" w:fill="auto"/>
            <w:noWrap/>
            <w:vAlign w:val="bottom"/>
            <w:hideMark/>
          </w:tcPr>
          <w:p w14:paraId="7A79F15A" w14:textId="77777777" w:rsidR="006E6044" w:rsidRPr="006E6044" w:rsidRDefault="006E6044">
            <w:pPr>
              <w:jc w:val="right"/>
              <w:rPr>
                <w:color w:val="000000"/>
                <w:sz w:val="22"/>
                <w:szCs w:val="22"/>
              </w:rPr>
            </w:pPr>
            <w:r w:rsidRPr="006E6044">
              <w:rPr>
                <w:color w:val="000000"/>
                <w:sz w:val="22"/>
                <w:szCs w:val="22"/>
              </w:rPr>
              <w:t>620</w:t>
            </w:r>
          </w:p>
        </w:tc>
        <w:tc>
          <w:tcPr>
            <w:tcW w:w="816" w:type="pct"/>
            <w:shd w:val="clear" w:color="auto" w:fill="auto"/>
            <w:noWrap/>
            <w:vAlign w:val="bottom"/>
            <w:hideMark/>
          </w:tcPr>
          <w:p w14:paraId="332D0B66" w14:textId="77777777" w:rsidR="006E6044" w:rsidRPr="006E6044" w:rsidRDefault="006E6044">
            <w:pPr>
              <w:jc w:val="center"/>
              <w:rPr>
                <w:color w:val="000000"/>
                <w:sz w:val="22"/>
                <w:szCs w:val="22"/>
              </w:rPr>
            </w:pPr>
            <w:r w:rsidRPr="006E6044">
              <w:rPr>
                <w:color w:val="000000"/>
                <w:sz w:val="22"/>
                <w:szCs w:val="22"/>
              </w:rPr>
              <w:t>x</w:t>
            </w:r>
          </w:p>
        </w:tc>
      </w:tr>
      <w:tr w:rsidR="006E6044" w:rsidRPr="006E6044" w14:paraId="13FE39E4" w14:textId="77777777" w:rsidTr="006E6044">
        <w:trPr>
          <w:trHeight w:val="300"/>
        </w:trPr>
        <w:tc>
          <w:tcPr>
            <w:tcW w:w="1738" w:type="pct"/>
            <w:shd w:val="clear" w:color="auto" w:fill="auto"/>
            <w:noWrap/>
            <w:vAlign w:val="bottom"/>
            <w:hideMark/>
          </w:tcPr>
          <w:p w14:paraId="429D4625" w14:textId="77777777" w:rsidR="006E6044" w:rsidRPr="006E6044" w:rsidRDefault="006E6044">
            <w:pPr>
              <w:rPr>
                <w:color w:val="000000"/>
                <w:sz w:val="22"/>
                <w:szCs w:val="22"/>
              </w:rPr>
            </w:pPr>
            <w:r w:rsidRPr="006E6044">
              <w:rPr>
                <w:color w:val="000000"/>
                <w:sz w:val="22"/>
                <w:szCs w:val="22"/>
              </w:rPr>
              <w:t>ubytovaný v domově mládeže</w:t>
            </w:r>
          </w:p>
        </w:tc>
        <w:tc>
          <w:tcPr>
            <w:tcW w:w="816" w:type="pct"/>
            <w:shd w:val="clear" w:color="auto" w:fill="auto"/>
            <w:noWrap/>
            <w:vAlign w:val="bottom"/>
            <w:hideMark/>
          </w:tcPr>
          <w:p w14:paraId="2698CB0A" w14:textId="77777777" w:rsidR="006E6044" w:rsidRPr="006E6044" w:rsidRDefault="006E6044">
            <w:pPr>
              <w:jc w:val="right"/>
              <w:rPr>
                <w:color w:val="000000"/>
                <w:sz w:val="22"/>
                <w:szCs w:val="22"/>
              </w:rPr>
            </w:pPr>
            <w:r w:rsidRPr="006E6044">
              <w:rPr>
                <w:color w:val="000000"/>
                <w:sz w:val="22"/>
                <w:szCs w:val="22"/>
              </w:rPr>
              <w:t>43 534</w:t>
            </w:r>
          </w:p>
        </w:tc>
        <w:tc>
          <w:tcPr>
            <w:tcW w:w="816" w:type="pct"/>
            <w:shd w:val="clear" w:color="auto" w:fill="auto"/>
            <w:noWrap/>
            <w:vAlign w:val="bottom"/>
            <w:hideMark/>
          </w:tcPr>
          <w:p w14:paraId="4EB2110E" w14:textId="77777777" w:rsidR="006E6044" w:rsidRPr="006E6044" w:rsidRDefault="006E6044">
            <w:pPr>
              <w:jc w:val="right"/>
              <w:rPr>
                <w:color w:val="000000"/>
                <w:sz w:val="22"/>
                <w:szCs w:val="22"/>
              </w:rPr>
            </w:pPr>
            <w:r w:rsidRPr="006E6044">
              <w:rPr>
                <w:color w:val="000000"/>
                <w:sz w:val="22"/>
                <w:szCs w:val="22"/>
              </w:rPr>
              <w:t>32 154</w:t>
            </w:r>
          </w:p>
        </w:tc>
        <w:tc>
          <w:tcPr>
            <w:tcW w:w="816" w:type="pct"/>
            <w:shd w:val="clear" w:color="auto" w:fill="auto"/>
            <w:noWrap/>
            <w:vAlign w:val="bottom"/>
            <w:hideMark/>
          </w:tcPr>
          <w:p w14:paraId="2045186F" w14:textId="77777777" w:rsidR="006E6044" w:rsidRPr="006E6044" w:rsidRDefault="006E6044">
            <w:pPr>
              <w:jc w:val="right"/>
              <w:rPr>
                <w:color w:val="000000"/>
                <w:sz w:val="22"/>
                <w:szCs w:val="22"/>
              </w:rPr>
            </w:pPr>
            <w:r w:rsidRPr="006E6044">
              <w:rPr>
                <w:color w:val="000000"/>
                <w:sz w:val="22"/>
                <w:szCs w:val="22"/>
              </w:rPr>
              <w:t>190</w:t>
            </w:r>
          </w:p>
        </w:tc>
        <w:tc>
          <w:tcPr>
            <w:tcW w:w="816" w:type="pct"/>
            <w:shd w:val="clear" w:color="auto" w:fill="auto"/>
            <w:noWrap/>
            <w:vAlign w:val="bottom"/>
            <w:hideMark/>
          </w:tcPr>
          <w:p w14:paraId="15C725B4" w14:textId="77777777" w:rsidR="006E6044" w:rsidRPr="006E6044" w:rsidRDefault="006E6044">
            <w:pPr>
              <w:jc w:val="center"/>
              <w:rPr>
                <w:color w:val="000000"/>
                <w:sz w:val="22"/>
                <w:szCs w:val="22"/>
              </w:rPr>
            </w:pPr>
            <w:r w:rsidRPr="006E6044">
              <w:rPr>
                <w:color w:val="000000"/>
                <w:sz w:val="22"/>
                <w:szCs w:val="22"/>
              </w:rPr>
              <w:t>x</w:t>
            </w:r>
          </w:p>
        </w:tc>
      </w:tr>
      <w:tr w:rsidR="006E6044" w:rsidRPr="006E6044" w14:paraId="548F0CB1" w14:textId="77777777" w:rsidTr="006E6044">
        <w:trPr>
          <w:trHeight w:val="315"/>
        </w:trPr>
        <w:tc>
          <w:tcPr>
            <w:tcW w:w="1738" w:type="pct"/>
            <w:shd w:val="clear" w:color="auto" w:fill="auto"/>
            <w:noWrap/>
            <w:vAlign w:val="bottom"/>
            <w:hideMark/>
          </w:tcPr>
          <w:p w14:paraId="1AFFAEF4" w14:textId="77777777" w:rsidR="006E6044" w:rsidRPr="006E6044" w:rsidRDefault="006E6044">
            <w:pPr>
              <w:rPr>
                <w:color w:val="000000"/>
                <w:sz w:val="22"/>
                <w:szCs w:val="22"/>
              </w:rPr>
            </w:pPr>
            <w:r w:rsidRPr="006E6044">
              <w:rPr>
                <w:color w:val="000000"/>
                <w:sz w:val="22"/>
                <w:szCs w:val="22"/>
              </w:rPr>
              <w:t>dítě, žák, student</w:t>
            </w:r>
          </w:p>
        </w:tc>
        <w:tc>
          <w:tcPr>
            <w:tcW w:w="816" w:type="pct"/>
            <w:shd w:val="clear" w:color="auto" w:fill="auto"/>
            <w:noWrap/>
            <w:vAlign w:val="bottom"/>
            <w:hideMark/>
          </w:tcPr>
          <w:p w14:paraId="5DE79949" w14:textId="77777777" w:rsidR="006E6044" w:rsidRPr="006E6044" w:rsidRDefault="006E6044">
            <w:pPr>
              <w:jc w:val="right"/>
              <w:rPr>
                <w:color w:val="000000"/>
                <w:sz w:val="22"/>
                <w:szCs w:val="22"/>
              </w:rPr>
            </w:pPr>
            <w:r w:rsidRPr="006E6044">
              <w:rPr>
                <w:color w:val="000000"/>
                <w:sz w:val="22"/>
                <w:szCs w:val="22"/>
              </w:rPr>
              <w:t>6 330</w:t>
            </w:r>
          </w:p>
        </w:tc>
        <w:tc>
          <w:tcPr>
            <w:tcW w:w="816" w:type="pct"/>
            <w:shd w:val="clear" w:color="auto" w:fill="auto"/>
            <w:noWrap/>
            <w:vAlign w:val="bottom"/>
            <w:hideMark/>
          </w:tcPr>
          <w:p w14:paraId="18F06CC6" w14:textId="77777777" w:rsidR="006E6044" w:rsidRPr="006E6044" w:rsidRDefault="006E6044">
            <w:pPr>
              <w:jc w:val="right"/>
              <w:rPr>
                <w:color w:val="000000"/>
                <w:sz w:val="22"/>
                <w:szCs w:val="22"/>
              </w:rPr>
            </w:pPr>
            <w:r w:rsidRPr="006E6044">
              <w:rPr>
                <w:color w:val="000000"/>
                <w:sz w:val="22"/>
                <w:szCs w:val="22"/>
              </w:rPr>
              <w:t>4 659</w:t>
            </w:r>
          </w:p>
        </w:tc>
        <w:tc>
          <w:tcPr>
            <w:tcW w:w="816" w:type="pct"/>
            <w:shd w:val="clear" w:color="auto" w:fill="auto"/>
            <w:noWrap/>
            <w:vAlign w:val="bottom"/>
            <w:hideMark/>
          </w:tcPr>
          <w:p w14:paraId="5A89A6F1" w14:textId="77777777" w:rsidR="006E6044" w:rsidRPr="006E6044" w:rsidRDefault="006E6044">
            <w:pPr>
              <w:jc w:val="right"/>
              <w:rPr>
                <w:color w:val="000000"/>
                <w:sz w:val="22"/>
                <w:szCs w:val="22"/>
              </w:rPr>
            </w:pPr>
            <w:r w:rsidRPr="006E6044">
              <w:rPr>
                <w:color w:val="000000"/>
                <w:sz w:val="22"/>
                <w:szCs w:val="22"/>
              </w:rPr>
              <w:t>50</w:t>
            </w:r>
          </w:p>
        </w:tc>
        <w:tc>
          <w:tcPr>
            <w:tcW w:w="816" w:type="pct"/>
            <w:shd w:val="clear" w:color="auto" w:fill="auto"/>
            <w:noWrap/>
            <w:vAlign w:val="bottom"/>
            <w:hideMark/>
          </w:tcPr>
          <w:p w14:paraId="6DD66289" w14:textId="5C6FC2F6" w:rsidR="006E6044" w:rsidRPr="006E6044" w:rsidRDefault="006E6044">
            <w:pPr>
              <w:jc w:val="right"/>
              <w:rPr>
                <w:color w:val="000000"/>
                <w:sz w:val="22"/>
                <w:szCs w:val="22"/>
              </w:rPr>
            </w:pPr>
            <w:r w:rsidRPr="006E6044">
              <w:rPr>
                <w:color w:val="000000"/>
                <w:sz w:val="22"/>
                <w:szCs w:val="22"/>
              </w:rPr>
              <w:t>0,987</w:t>
            </w:r>
          </w:p>
        </w:tc>
      </w:tr>
    </w:tbl>
    <w:p w14:paraId="456C42E2" w14:textId="77777777" w:rsidR="006E6044" w:rsidRDefault="006E6044" w:rsidP="00D4269E">
      <w:pPr>
        <w:jc w:val="both"/>
        <w:rPr>
          <w:color w:val="000000"/>
        </w:rPr>
      </w:pPr>
    </w:p>
    <w:p w14:paraId="232B67FA" w14:textId="5D92596C" w:rsidR="00EA5E4D" w:rsidRPr="00EA5E4D" w:rsidRDefault="00EA5E4D" w:rsidP="00D4269E">
      <w:pPr>
        <w:jc w:val="both"/>
        <w:rPr>
          <w:color w:val="000000"/>
        </w:rPr>
      </w:pPr>
      <w:r w:rsidRPr="00EA5E4D">
        <w:rPr>
          <w:color w:val="000000"/>
        </w:rPr>
        <w:t xml:space="preserve">K republikovému normativu stanovenému podle § 161b školského zákona </w:t>
      </w:r>
      <w:r>
        <w:rPr>
          <w:color w:val="000000"/>
        </w:rPr>
        <w:t>stanovilo MŠMT</w:t>
      </w:r>
      <w:r w:rsidRPr="00EA5E4D">
        <w:rPr>
          <w:color w:val="000000"/>
        </w:rPr>
        <w:t xml:space="preserve"> pro rok 202</w:t>
      </w:r>
      <w:r w:rsidR="00372FC9">
        <w:rPr>
          <w:color w:val="000000"/>
        </w:rPr>
        <w:t>5</w:t>
      </w:r>
      <w:r w:rsidRPr="00EA5E4D">
        <w:rPr>
          <w:color w:val="000000"/>
        </w:rPr>
        <w:t xml:space="preserve"> opravné koeficienty zohledňující </w:t>
      </w:r>
      <w:r w:rsidR="000B221C">
        <w:rPr>
          <w:color w:val="000000"/>
        </w:rPr>
        <w:t>reálnou</w:t>
      </w:r>
      <w:r w:rsidR="000B221C" w:rsidRPr="000B221C">
        <w:rPr>
          <w:color w:val="000000"/>
        </w:rPr>
        <w:t xml:space="preserve"> hustot</w:t>
      </w:r>
      <w:r w:rsidR="000B221C">
        <w:rPr>
          <w:color w:val="000000"/>
        </w:rPr>
        <w:t>u</w:t>
      </w:r>
      <w:r w:rsidR="000B221C" w:rsidRPr="000B221C">
        <w:rPr>
          <w:color w:val="000000"/>
        </w:rPr>
        <w:t xml:space="preserve"> sítě školských zařízení v kraji vyjádřené počtem dětí, žáků a studentů na 1 km2</w:t>
      </w:r>
      <w:r w:rsidR="000B221C">
        <w:rPr>
          <w:color w:val="000000"/>
        </w:rPr>
        <w:t xml:space="preserve"> a </w:t>
      </w:r>
      <w:r w:rsidR="000B221C">
        <w:rPr>
          <w:sz w:val="23"/>
          <w:szCs w:val="23"/>
        </w:rPr>
        <w:t>rozdílný podíl stravovaných v zařízeních školního stravování zřizovaných krajem, obcí nebo dobrovolným svazkem obcí v jednotlivých krajích z celkového počtu dětí, žáků a studentů v kraji.</w:t>
      </w:r>
    </w:p>
    <w:p w14:paraId="16124742" w14:textId="77777777" w:rsidR="004B6369" w:rsidRDefault="004B6369" w:rsidP="00D4269E">
      <w:pPr>
        <w:jc w:val="both"/>
        <w:rPr>
          <w:color w:val="000000"/>
        </w:rPr>
      </w:pPr>
    </w:p>
    <w:p w14:paraId="40B341E6" w14:textId="3B7FB0D6" w:rsidR="002D2329" w:rsidRDefault="000B221C" w:rsidP="00D4269E">
      <w:pPr>
        <w:jc w:val="both"/>
        <w:rPr>
          <w:color w:val="000000"/>
        </w:rPr>
      </w:pPr>
      <w:r>
        <w:rPr>
          <w:color w:val="000000"/>
        </w:rPr>
        <w:t>Celkový o</w:t>
      </w:r>
      <w:r w:rsidR="00EA5E4D" w:rsidRPr="00EA5E4D">
        <w:rPr>
          <w:color w:val="000000"/>
        </w:rPr>
        <w:t xml:space="preserve">pravný koeficient </w:t>
      </w:r>
      <w:r>
        <w:rPr>
          <w:color w:val="000000"/>
        </w:rPr>
        <w:t>je tak součtem opravného koeficientu zohledňující reálnou</w:t>
      </w:r>
      <w:r w:rsidRPr="000B221C">
        <w:rPr>
          <w:color w:val="000000"/>
        </w:rPr>
        <w:t xml:space="preserve"> hustot</w:t>
      </w:r>
      <w:r>
        <w:rPr>
          <w:color w:val="000000"/>
        </w:rPr>
        <w:t>u</w:t>
      </w:r>
      <w:r w:rsidRPr="000B221C">
        <w:rPr>
          <w:color w:val="000000"/>
        </w:rPr>
        <w:t xml:space="preserve"> sítě školských zařízení </w:t>
      </w:r>
      <w:r>
        <w:rPr>
          <w:color w:val="000000"/>
        </w:rPr>
        <w:t xml:space="preserve">a podílu stravovaných dle </w:t>
      </w:r>
      <w:r w:rsidR="008507AB">
        <w:rPr>
          <w:color w:val="000000"/>
        </w:rPr>
        <w:t>textu výše.</w:t>
      </w:r>
    </w:p>
    <w:p w14:paraId="51C08768" w14:textId="77777777" w:rsidR="004B6369" w:rsidRDefault="004B6369" w:rsidP="00D4269E">
      <w:pPr>
        <w:jc w:val="both"/>
        <w:rPr>
          <w:color w:val="000000"/>
        </w:rPr>
      </w:pPr>
    </w:p>
    <w:p w14:paraId="37F3E28E" w14:textId="2B10ADDF" w:rsidR="002D2329" w:rsidRPr="009B2D25" w:rsidRDefault="002D2329" w:rsidP="00D4269E">
      <w:pPr>
        <w:jc w:val="both"/>
        <w:rPr>
          <w:b/>
          <w:color w:val="000000"/>
        </w:rPr>
      </w:pPr>
      <w:r w:rsidRPr="009B2D25">
        <w:rPr>
          <w:b/>
          <w:color w:val="000000"/>
        </w:rPr>
        <w:t>Opravný koeficient pro Liberecký kraj v roce 202</w:t>
      </w:r>
      <w:r w:rsidR="00DF4791">
        <w:rPr>
          <w:b/>
          <w:color w:val="000000"/>
        </w:rPr>
        <w:t>5</w:t>
      </w:r>
      <w:r w:rsidRPr="009B2D2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0"/>
        <w:gridCol w:w="1390"/>
        <w:gridCol w:w="1390"/>
        <w:gridCol w:w="1390"/>
        <w:gridCol w:w="1390"/>
      </w:tblGrid>
      <w:tr w:rsidR="002D2329" w:rsidRPr="009B2D25" w14:paraId="3401C7B5" w14:textId="77777777" w:rsidTr="008507AB">
        <w:trPr>
          <w:trHeight w:val="660"/>
        </w:trPr>
        <w:tc>
          <w:tcPr>
            <w:tcW w:w="1932" w:type="pct"/>
            <w:shd w:val="clear" w:color="auto" w:fill="auto"/>
            <w:vAlign w:val="center"/>
            <w:hideMark/>
          </w:tcPr>
          <w:p w14:paraId="22473ECD" w14:textId="70E7FEAD" w:rsidR="002D2329" w:rsidRPr="009B2D25" w:rsidRDefault="007C5C3C" w:rsidP="008507AB">
            <w:pPr>
              <w:jc w:val="center"/>
              <w:rPr>
                <w:b/>
                <w:color w:val="000000"/>
                <w:sz w:val="22"/>
                <w:szCs w:val="22"/>
              </w:rPr>
            </w:pPr>
            <w:r w:rsidRPr="007C5C3C">
              <w:rPr>
                <w:b/>
                <w:bCs/>
                <w:color w:val="000000"/>
                <w:sz w:val="22"/>
                <w:szCs w:val="22"/>
              </w:rPr>
              <w:t xml:space="preserve">Počet dětí, žáků a studentů podle </w:t>
            </w:r>
            <w:r w:rsidR="00182F55">
              <w:rPr>
                <w:b/>
                <w:bCs/>
                <w:color w:val="000000"/>
                <w:sz w:val="22"/>
                <w:szCs w:val="22"/>
              </w:rPr>
              <w:br/>
            </w:r>
            <w:r w:rsidRPr="007C5C3C">
              <w:rPr>
                <w:b/>
                <w:bCs/>
                <w:color w:val="000000"/>
                <w:sz w:val="22"/>
                <w:szCs w:val="22"/>
              </w:rPr>
              <w:t xml:space="preserve">§ 161b odst. 1 ve </w:t>
            </w:r>
            <w:proofErr w:type="spellStart"/>
            <w:r w:rsidRPr="007C5C3C">
              <w:rPr>
                <w:b/>
                <w:bCs/>
                <w:color w:val="000000"/>
                <w:sz w:val="22"/>
                <w:szCs w:val="22"/>
              </w:rPr>
              <w:t>šk</w:t>
            </w:r>
            <w:proofErr w:type="spellEnd"/>
            <w:r w:rsidRPr="007C5C3C">
              <w:rPr>
                <w:b/>
                <w:bCs/>
                <w:color w:val="000000"/>
                <w:sz w:val="22"/>
                <w:szCs w:val="22"/>
              </w:rPr>
              <w:t>.</w:t>
            </w:r>
            <w:r w:rsidR="00AE66DC">
              <w:rPr>
                <w:b/>
                <w:bCs/>
                <w:color w:val="000000"/>
                <w:sz w:val="22"/>
                <w:szCs w:val="22"/>
              </w:rPr>
              <w:t xml:space="preserve"> </w:t>
            </w:r>
            <w:r w:rsidRPr="007C5C3C">
              <w:rPr>
                <w:b/>
                <w:bCs/>
                <w:color w:val="000000"/>
                <w:sz w:val="22"/>
                <w:szCs w:val="22"/>
              </w:rPr>
              <w:t>r. 202</w:t>
            </w:r>
            <w:r w:rsidR="00DF4791">
              <w:rPr>
                <w:b/>
                <w:bCs/>
                <w:color w:val="000000"/>
                <w:sz w:val="22"/>
                <w:szCs w:val="22"/>
              </w:rPr>
              <w:t>4</w:t>
            </w:r>
            <w:r w:rsidRPr="007C5C3C">
              <w:rPr>
                <w:b/>
                <w:bCs/>
                <w:color w:val="000000"/>
                <w:sz w:val="22"/>
                <w:szCs w:val="22"/>
              </w:rPr>
              <w:t>/202</w:t>
            </w:r>
            <w:r w:rsidR="00DF4791">
              <w:rPr>
                <w:b/>
                <w:bCs/>
                <w:color w:val="000000"/>
                <w:sz w:val="22"/>
                <w:szCs w:val="22"/>
              </w:rPr>
              <w:t>5</w:t>
            </w:r>
          </w:p>
        </w:tc>
        <w:tc>
          <w:tcPr>
            <w:tcW w:w="767" w:type="pct"/>
            <w:shd w:val="clear" w:color="auto" w:fill="auto"/>
            <w:vAlign w:val="center"/>
            <w:hideMark/>
          </w:tcPr>
          <w:p w14:paraId="2240F074" w14:textId="17BE70BE" w:rsidR="002D2329" w:rsidRPr="009B2D25" w:rsidRDefault="007C5C3C" w:rsidP="00D51826">
            <w:pPr>
              <w:jc w:val="center"/>
              <w:rPr>
                <w:b/>
                <w:color w:val="000000"/>
                <w:sz w:val="22"/>
                <w:szCs w:val="22"/>
              </w:rPr>
            </w:pPr>
            <w:r>
              <w:rPr>
                <w:b/>
                <w:bCs/>
                <w:color w:val="000000"/>
                <w:sz w:val="22"/>
                <w:szCs w:val="22"/>
              </w:rPr>
              <w:t>R</w:t>
            </w:r>
            <w:r w:rsidR="002D2329" w:rsidRPr="009B2D25">
              <w:rPr>
                <w:b/>
                <w:bCs/>
                <w:color w:val="000000"/>
                <w:sz w:val="22"/>
                <w:szCs w:val="22"/>
              </w:rPr>
              <w:t xml:space="preserve">ozloha kraje </w:t>
            </w:r>
            <w:r w:rsidR="00182F55">
              <w:rPr>
                <w:b/>
                <w:bCs/>
                <w:color w:val="000000"/>
                <w:sz w:val="22"/>
                <w:szCs w:val="22"/>
              </w:rPr>
              <w:br/>
            </w:r>
            <w:r w:rsidR="002D2329" w:rsidRPr="009B2D25">
              <w:rPr>
                <w:b/>
                <w:bCs/>
                <w:color w:val="000000"/>
                <w:sz w:val="22"/>
                <w:szCs w:val="22"/>
              </w:rPr>
              <w:t>v km</w:t>
            </w:r>
            <w:r w:rsidR="002D2329" w:rsidRPr="009B2D25">
              <w:rPr>
                <w:b/>
                <w:color w:val="000000"/>
                <w:sz w:val="22"/>
                <w:szCs w:val="22"/>
                <w:vertAlign w:val="superscript"/>
              </w:rPr>
              <w:t>2</w:t>
            </w:r>
          </w:p>
        </w:tc>
        <w:tc>
          <w:tcPr>
            <w:tcW w:w="767" w:type="pct"/>
            <w:shd w:val="clear" w:color="auto" w:fill="auto"/>
            <w:vAlign w:val="center"/>
          </w:tcPr>
          <w:p w14:paraId="7014434A" w14:textId="77777777" w:rsidR="008507AB" w:rsidRPr="008507AB" w:rsidRDefault="008507AB" w:rsidP="008507AB">
            <w:pPr>
              <w:jc w:val="center"/>
              <w:rPr>
                <w:b/>
                <w:color w:val="000000"/>
                <w:sz w:val="22"/>
                <w:szCs w:val="22"/>
              </w:rPr>
            </w:pPr>
            <w:r w:rsidRPr="008507AB">
              <w:rPr>
                <w:b/>
                <w:color w:val="000000"/>
                <w:sz w:val="22"/>
                <w:szCs w:val="22"/>
              </w:rPr>
              <w:t>Opravný</w:t>
            </w:r>
          </w:p>
          <w:p w14:paraId="54666D69" w14:textId="77777777" w:rsidR="008507AB" w:rsidRPr="008507AB" w:rsidRDefault="008507AB" w:rsidP="008507AB">
            <w:pPr>
              <w:jc w:val="center"/>
              <w:rPr>
                <w:b/>
                <w:color w:val="000000"/>
                <w:sz w:val="22"/>
                <w:szCs w:val="22"/>
              </w:rPr>
            </w:pPr>
            <w:r w:rsidRPr="008507AB">
              <w:rPr>
                <w:b/>
                <w:color w:val="000000"/>
                <w:sz w:val="22"/>
                <w:szCs w:val="22"/>
              </w:rPr>
              <w:t>koeficient</w:t>
            </w:r>
          </w:p>
          <w:p w14:paraId="30554B89" w14:textId="788034FA" w:rsidR="002D2329" w:rsidRPr="009B2D25" w:rsidRDefault="008507AB" w:rsidP="008507AB">
            <w:pPr>
              <w:jc w:val="center"/>
              <w:rPr>
                <w:b/>
                <w:color w:val="000000"/>
                <w:sz w:val="22"/>
                <w:szCs w:val="22"/>
              </w:rPr>
            </w:pPr>
            <w:r w:rsidRPr="008507AB">
              <w:rPr>
                <w:b/>
                <w:color w:val="000000"/>
                <w:sz w:val="22"/>
                <w:szCs w:val="22"/>
              </w:rPr>
              <w:t>„hustota“</w:t>
            </w:r>
          </w:p>
        </w:tc>
        <w:tc>
          <w:tcPr>
            <w:tcW w:w="767" w:type="pct"/>
            <w:shd w:val="clear" w:color="auto" w:fill="auto"/>
            <w:vAlign w:val="center"/>
          </w:tcPr>
          <w:p w14:paraId="782C714A" w14:textId="77777777" w:rsidR="008507AB" w:rsidRPr="008507AB" w:rsidRDefault="008507AB" w:rsidP="008507AB">
            <w:pPr>
              <w:jc w:val="center"/>
              <w:rPr>
                <w:b/>
                <w:color w:val="000000"/>
                <w:sz w:val="22"/>
                <w:szCs w:val="22"/>
              </w:rPr>
            </w:pPr>
            <w:r w:rsidRPr="008507AB">
              <w:rPr>
                <w:b/>
                <w:color w:val="000000"/>
                <w:sz w:val="22"/>
                <w:szCs w:val="22"/>
              </w:rPr>
              <w:t>Opravný</w:t>
            </w:r>
          </w:p>
          <w:p w14:paraId="533FA5DA" w14:textId="5C030C7B" w:rsidR="002D2329" w:rsidRPr="009B2D25" w:rsidRDefault="008507AB" w:rsidP="008507AB">
            <w:pPr>
              <w:jc w:val="center"/>
              <w:rPr>
                <w:b/>
                <w:color w:val="000000"/>
                <w:sz w:val="22"/>
                <w:szCs w:val="22"/>
              </w:rPr>
            </w:pPr>
            <w:r w:rsidRPr="008507AB">
              <w:rPr>
                <w:b/>
                <w:color w:val="000000"/>
                <w:sz w:val="22"/>
                <w:szCs w:val="22"/>
              </w:rPr>
              <w:t>koeficient „stravovaní“</w:t>
            </w:r>
          </w:p>
        </w:tc>
        <w:tc>
          <w:tcPr>
            <w:tcW w:w="767" w:type="pct"/>
            <w:shd w:val="clear" w:color="auto" w:fill="auto"/>
            <w:vAlign w:val="center"/>
            <w:hideMark/>
          </w:tcPr>
          <w:p w14:paraId="4BCA894A" w14:textId="77777777" w:rsidR="002D2329" w:rsidRPr="009B2D25" w:rsidRDefault="002D2329" w:rsidP="00D51826">
            <w:pPr>
              <w:jc w:val="center"/>
              <w:rPr>
                <w:b/>
                <w:color w:val="000000"/>
                <w:sz w:val="22"/>
                <w:szCs w:val="22"/>
              </w:rPr>
            </w:pPr>
            <w:r w:rsidRPr="009B2D25">
              <w:rPr>
                <w:b/>
                <w:bCs/>
                <w:color w:val="000000"/>
                <w:sz w:val="22"/>
                <w:szCs w:val="22"/>
              </w:rPr>
              <w:t>Opravný koeficient k RN</w:t>
            </w:r>
          </w:p>
        </w:tc>
      </w:tr>
      <w:tr w:rsidR="00E40D74" w:rsidRPr="00E40D74" w14:paraId="5FA7B4AD" w14:textId="77777777" w:rsidTr="00BF4ECB">
        <w:trPr>
          <w:trHeight w:val="300"/>
        </w:trPr>
        <w:tc>
          <w:tcPr>
            <w:tcW w:w="1932" w:type="pct"/>
            <w:shd w:val="clear" w:color="auto" w:fill="auto"/>
            <w:noWrap/>
            <w:vAlign w:val="center"/>
            <w:hideMark/>
          </w:tcPr>
          <w:p w14:paraId="43572CD7" w14:textId="4049708E" w:rsidR="00E40D74" w:rsidRPr="00E40D74" w:rsidRDefault="00DF4791" w:rsidP="00BF4ECB">
            <w:pPr>
              <w:jc w:val="right"/>
              <w:rPr>
                <w:color w:val="000000"/>
                <w:sz w:val="22"/>
                <w:szCs w:val="22"/>
              </w:rPr>
            </w:pPr>
            <w:r w:rsidRPr="00DF4791">
              <w:rPr>
                <w:sz w:val="22"/>
                <w:szCs w:val="22"/>
              </w:rPr>
              <w:t>72 925</w:t>
            </w:r>
          </w:p>
        </w:tc>
        <w:tc>
          <w:tcPr>
            <w:tcW w:w="767" w:type="pct"/>
            <w:shd w:val="clear" w:color="auto" w:fill="auto"/>
            <w:vAlign w:val="center"/>
            <w:hideMark/>
          </w:tcPr>
          <w:p w14:paraId="026015E4" w14:textId="0E92F741" w:rsidR="00E40D74" w:rsidRPr="00E40D74" w:rsidRDefault="00DF4791" w:rsidP="00BF4ECB">
            <w:pPr>
              <w:jc w:val="right"/>
              <w:rPr>
                <w:color w:val="000000"/>
                <w:sz w:val="22"/>
                <w:szCs w:val="22"/>
              </w:rPr>
            </w:pPr>
            <w:r w:rsidRPr="00DF4791">
              <w:rPr>
                <w:sz w:val="22"/>
                <w:szCs w:val="22"/>
              </w:rPr>
              <w:t>3 163,4</w:t>
            </w:r>
          </w:p>
        </w:tc>
        <w:tc>
          <w:tcPr>
            <w:tcW w:w="767" w:type="pct"/>
            <w:shd w:val="clear" w:color="auto" w:fill="auto"/>
            <w:vAlign w:val="center"/>
          </w:tcPr>
          <w:p w14:paraId="3B3480E1" w14:textId="0F27F92F" w:rsidR="00E40D74" w:rsidRPr="00E40D74" w:rsidRDefault="008507AB" w:rsidP="00BF4ECB">
            <w:pPr>
              <w:jc w:val="right"/>
              <w:rPr>
                <w:color w:val="000000"/>
                <w:sz w:val="22"/>
                <w:szCs w:val="22"/>
              </w:rPr>
            </w:pPr>
            <w:r w:rsidRPr="008507AB">
              <w:rPr>
                <w:color w:val="000000"/>
                <w:sz w:val="22"/>
                <w:szCs w:val="22"/>
              </w:rPr>
              <w:t>0,042</w:t>
            </w:r>
          </w:p>
        </w:tc>
        <w:tc>
          <w:tcPr>
            <w:tcW w:w="767" w:type="pct"/>
            <w:shd w:val="clear" w:color="auto" w:fill="auto"/>
            <w:noWrap/>
            <w:vAlign w:val="center"/>
          </w:tcPr>
          <w:p w14:paraId="6841024B" w14:textId="7076245F" w:rsidR="00E40D74" w:rsidRPr="00E40D74" w:rsidRDefault="008507AB" w:rsidP="00BF4ECB">
            <w:pPr>
              <w:jc w:val="right"/>
              <w:rPr>
                <w:color w:val="000000"/>
                <w:sz w:val="22"/>
                <w:szCs w:val="22"/>
              </w:rPr>
            </w:pPr>
            <w:r w:rsidRPr="008507AB">
              <w:rPr>
                <w:color w:val="000000"/>
                <w:sz w:val="22"/>
                <w:szCs w:val="22"/>
              </w:rPr>
              <w:t>-0,055</w:t>
            </w:r>
          </w:p>
        </w:tc>
        <w:tc>
          <w:tcPr>
            <w:tcW w:w="767" w:type="pct"/>
            <w:shd w:val="clear" w:color="auto" w:fill="auto"/>
            <w:noWrap/>
            <w:vAlign w:val="center"/>
            <w:hideMark/>
          </w:tcPr>
          <w:p w14:paraId="2101DDD3" w14:textId="36544A45" w:rsidR="00E40D74" w:rsidRPr="00E40D74" w:rsidRDefault="008507AB" w:rsidP="00BF4ECB">
            <w:pPr>
              <w:jc w:val="right"/>
              <w:rPr>
                <w:color w:val="000000"/>
                <w:sz w:val="22"/>
                <w:szCs w:val="22"/>
              </w:rPr>
            </w:pPr>
            <w:r w:rsidRPr="008507AB">
              <w:rPr>
                <w:sz w:val="22"/>
                <w:szCs w:val="22"/>
              </w:rPr>
              <w:t>0,987</w:t>
            </w:r>
          </w:p>
        </w:tc>
      </w:tr>
    </w:tbl>
    <w:p w14:paraId="2680CAEB" w14:textId="07E41158" w:rsidR="00ED4146" w:rsidRDefault="00ED4146" w:rsidP="00ED4146">
      <w:pPr>
        <w:pStyle w:val="Nadpis3"/>
        <w:numPr>
          <w:ilvl w:val="0"/>
          <w:numId w:val="0"/>
        </w:numPr>
        <w:ind w:left="720" w:hanging="720"/>
      </w:pPr>
    </w:p>
    <w:p w14:paraId="727EE063" w14:textId="41885710" w:rsidR="002D2329" w:rsidRPr="002F5F9D" w:rsidRDefault="002D2329" w:rsidP="00D4269E">
      <w:pPr>
        <w:pStyle w:val="Nadpis3"/>
      </w:pPr>
      <w:r w:rsidRPr="002F5F9D">
        <w:t>Mzdové prostředky včetně odvodů, ostatní neinvestiční výdaje</w:t>
      </w:r>
    </w:p>
    <w:p w14:paraId="71406A87" w14:textId="49B8164C" w:rsidR="004B6369" w:rsidRDefault="00F3084B" w:rsidP="00D4269E">
      <w:pPr>
        <w:jc w:val="both"/>
        <w:rPr>
          <w:color w:val="000000"/>
        </w:rPr>
      </w:pPr>
      <w:r>
        <w:rPr>
          <w:color w:val="000000"/>
        </w:rPr>
        <w:t>Na základě výkonů školního roku 202</w:t>
      </w:r>
      <w:r w:rsidR="00DF4791">
        <w:rPr>
          <w:color w:val="000000"/>
        </w:rPr>
        <w:t>4</w:t>
      </w:r>
      <w:r>
        <w:rPr>
          <w:color w:val="000000"/>
        </w:rPr>
        <w:t>/202</w:t>
      </w:r>
      <w:r w:rsidR="00DF4791">
        <w:rPr>
          <w:color w:val="000000"/>
        </w:rPr>
        <w:t>5</w:t>
      </w:r>
      <w:r>
        <w:rPr>
          <w:color w:val="000000"/>
        </w:rPr>
        <w:t xml:space="preserve"> a republikových normativů byl stanoven normativní rozpis rozpočtu pro školská zařízení v Libereckém kraji s výjimkou prostředků pro pedagogickou práci školních družin následovně:</w:t>
      </w:r>
    </w:p>
    <w:p w14:paraId="6C7B6CE2" w14:textId="77777777" w:rsidR="002D2329" w:rsidRDefault="002D2329" w:rsidP="00D4269E">
      <w:pPr>
        <w:jc w:val="both"/>
        <w:rPr>
          <w:color w:val="000000"/>
        </w:rPr>
      </w:pPr>
    </w:p>
    <w:p w14:paraId="560D040D" w14:textId="1F84B941" w:rsidR="002D2329" w:rsidRDefault="005E472B" w:rsidP="00D4269E">
      <w:pPr>
        <w:keepNext/>
        <w:jc w:val="both"/>
        <w:rPr>
          <w:b/>
          <w:color w:val="000000"/>
        </w:rPr>
      </w:pPr>
      <w:r w:rsidRPr="005E472B">
        <w:rPr>
          <w:b/>
          <w:color w:val="000000"/>
        </w:rPr>
        <w:t>Normativní rozpis podle § 161a a § 16</w:t>
      </w:r>
      <w:r w:rsidR="008507AB">
        <w:rPr>
          <w:b/>
          <w:color w:val="000000"/>
        </w:rPr>
        <w:t>1b školského zákona pro rok 202</w:t>
      </w:r>
      <w:r w:rsidR="00B04E33">
        <w:rPr>
          <w:b/>
          <w:color w:val="000000"/>
        </w:rPr>
        <w:t>5</w:t>
      </w:r>
      <w:r>
        <w:rPr>
          <w:b/>
          <w:color w:val="000000"/>
        </w:rPr>
        <w:t>, Liberecký kraj</w:t>
      </w:r>
    </w:p>
    <w:tbl>
      <w:tblPr>
        <w:tblW w:w="9119" w:type="dxa"/>
        <w:tblLayout w:type="fixed"/>
        <w:tblCellMar>
          <w:left w:w="70" w:type="dxa"/>
          <w:right w:w="70" w:type="dxa"/>
        </w:tblCellMar>
        <w:tblLook w:val="04A0" w:firstRow="1" w:lastRow="0" w:firstColumn="1" w:lastColumn="0" w:noHBand="0" w:noVBand="1"/>
      </w:tblPr>
      <w:tblGrid>
        <w:gridCol w:w="2835"/>
        <w:gridCol w:w="1134"/>
        <w:gridCol w:w="1262"/>
        <w:gridCol w:w="1263"/>
        <w:gridCol w:w="1378"/>
        <w:gridCol w:w="1247"/>
      </w:tblGrid>
      <w:tr w:rsidR="00BF4ECB" w:rsidRPr="001F0C31" w14:paraId="227C3ADA" w14:textId="77777777" w:rsidTr="00B04E33">
        <w:trPr>
          <w:trHeight w:val="76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AF74" w14:textId="77777777" w:rsidR="00BF4ECB" w:rsidRPr="001F0C31" w:rsidRDefault="00BF4ECB" w:rsidP="00D51826">
            <w:pPr>
              <w:jc w:val="center"/>
              <w:rPr>
                <w:b/>
                <w:color w:val="000000"/>
                <w:sz w:val="22"/>
                <w:szCs w:val="22"/>
              </w:rPr>
            </w:pPr>
            <w:r w:rsidRPr="001F0C31">
              <w:rPr>
                <w:b/>
                <w:color w:val="000000"/>
                <w:sz w:val="22"/>
                <w:szCs w:val="22"/>
              </w:rPr>
              <w:t>Jednotka výkonu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74F112" w14:textId="2C294188" w:rsidR="00BF4ECB" w:rsidRPr="001F0C31" w:rsidRDefault="00BF4ECB" w:rsidP="00BF4ECB">
            <w:pPr>
              <w:jc w:val="center"/>
              <w:rPr>
                <w:b/>
                <w:color w:val="000000"/>
                <w:sz w:val="22"/>
                <w:szCs w:val="22"/>
              </w:rPr>
            </w:pPr>
            <w:r w:rsidRPr="001F0C31">
              <w:rPr>
                <w:b/>
                <w:color w:val="000000"/>
                <w:sz w:val="22"/>
                <w:szCs w:val="22"/>
              </w:rPr>
              <w:t>Výkony 202</w:t>
            </w:r>
            <w:r w:rsidR="00B04E33" w:rsidRPr="001F0C31">
              <w:rPr>
                <w:b/>
                <w:color w:val="000000"/>
                <w:sz w:val="22"/>
                <w:szCs w:val="22"/>
              </w:rPr>
              <w:t>4</w:t>
            </w:r>
            <w:r w:rsidRPr="001F0C31">
              <w:rPr>
                <w:b/>
                <w:color w:val="000000"/>
                <w:sz w:val="22"/>
                <w:szCs w:val="22"/>
              </w:rPr>
              <w:t>/2</w:t>
            </w:r>
            <w:r w:rsidR="00B04E33" w:rsidRPr="001F0C31">
              <w:rPr>
                <w:b/>
                <w:color w:val="000000"/>
                <w:sz w:val="22"/>
                <w:szCs w:val="22"/>
              </w:rPr>
              <w:t>5</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24F842B" w14:textId="325220D3" w:rsidR="00BF4ECB" w:rsidRPr="001F0C31" w:rsidRDefault="00BF4ECB" w:rsidP="00D51826">
            <w:pPr>
              <w:jc w:val="center"/>
              <w:rPr>
                <w:b/>
                <w:color w:val="000000"/>
                <w:sz w:val="22"/>
                <w:szCs w:val="22"/>
              </w:rPr>
            </w:pPr>
            <w:r w:rsidRPr="001F0C31">
              <w:rPr>
                <w:b/>
                <w:color w:val="000000"/>
                <w:sz w:val="22"/>
                <w:szCs w:val="22"/>
              </w:rPr>
              <w:t>NIV celkem</w:t>
            </w:r>
          </w:p>
          <w:p w14:paraId="55512A29" w14:textId="4DF2AFCF" w:rsidR="00BF4ECB" w:rsidRPr="001F0C31" w:rsidRDefault="00BF4ECB" w:rsidP="00D51826">
            <w:pPr>
              <w:jc w:val="center"/>
              <w:rPr>
                <w:b/>
                <w:color w:val="000000"/>
                <w:sz w:val="22"/>
                <w:szCs w:val="22"/>
              </w:rPr>
            </w:pPr>
            <w:r w:rsidRPr="001F0C31">
              <w:rPr>
                <w:b/>
                <w:color w:val="000000"/>
                <w:sz w:val="22"/>
                <w:szCs w:val="22"/>
              </w:rPr>
              <w:t>v Kč</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EC15C67" w14:textId="13C207A3" w:rsidR="00BF4ECB" w:rsidRPr="001F0C31" w:rsidRDefault="00BF4ECB" w:rsidP="00D51826">
            <w:pPr>
              <w:jc w:val="center"/>
              <w:rPr>
                <w:b/>
                <w:color w:val="000000"/>
                <w:sz w:val="22"/>
                <w:szCs w:val="22"/>
              </w:rPr>
            </w:pPr>
            <w:r w:rsidRPr="001F0C31">
              <w:rPr>
                <w:b/>
                <w:color w:val="000000"/>
                <w:sz w:val="22"/>
                <w:szCs w:val="22"/>
              </w:rPr>
              <w:t>Prostředky na platy</w:t>
            </w:r>
          </w:p>
          <w:p w14:paraId="25CB52F1" w14:textId="76E5F3A8" w:rsidR="00BF4ECB" w:rsidRPr="001F0C31" w:rsidRDefault="00BF4ECB" w:rsidP="00D51826">
            <w:pPr>
              <w:jc w:val="center"/>
              <w:rPr>
                <w:b/>
                <w:color w:val="000000"/>
                <w:sz w:val="22"/>
                <w:szCs w:val="22"/>
              </w:rPr>
            </w:pPr>
            <w:r w:rsidRPr="001F0C31">
              <w:rPr>
                <w:b/>
                <w:color w:val="000000"/>
                <w:sz w:val="22"/>
                <w:szCs w:val="22"/>
              </w:rPr>
              <w:t>v Kč</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0439BE8C" w14:textId="2B92CD23" w:rsidR="00BF4ECB" w:rsidRPr="001F0C31" w:rsidRDefault="00BF4ECB" w:rsidP="00BF4ECB">
            <w:pPr>
              <w:jc w:val="center"/>
              <w:rPr>
                <w:b/>
                <w:color w:val="000000"/>
                <w:sz w:val="22"/>
                <w:szCs w:val="22"/>
              </w:rPr>
            </w:pPr>
            <w:r w:rsidRPr="001F0C31">
              <w:rPr>
                <w:b/>
                <w:color w:val="000000"/>
                <w:sz w:val="22"/>
                <w:szCs w:val="22"/>
              </w:rPr>
              <w:t>Odvody a příděl FKSP celkem v Kč</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212EDAA" w14:textId="756DBC67" w:rsidR="00BF4ECB" w:rsidRPr="001F0C31" w:rsidRDefault="00BF4ECB" w:rsidP="00D51826">
            <w:pPr>
              <w:jc w:val="center"/>
              <w:rPr>
                <w:b/>
                <w:color w:val="000000"/>
                <w:sz w:val="22"/>
                <w:szCs w:val="22"/>
              </w:rPr>
            </w:pPr>
            <w:r w:rsidRPr="001F0C31">
              <w:rPr>
                <w:b/>
                <w:color w:val="000000"/>
                <w:sz w:val="22"/>
                <w:szCs w:val="22"/>
              </w:rPr>
              <w:t>ONIV celkem</w:t>
            </w:r>
          </w:p>
          <w:p w14:paraId="364FAFEA" w14:textId="24F97BE6" w:rsidR="00BF4ECB" w:rsidRPr="001F0C31" w:rsidRDefault="00BF4ECB" w:rsidP="00D51826">
            <w:pPr>
              <w:jc w:val="center"/>
              <w:rPr>
                <w:b/>
                <w:color w:val="000000"/>
                <w:sz w:val="22"/>
                <w:szCs w:val="22"/>
              </w:rPr>
            </w:pPr>
            <w:r w:rsidRPr="001F0C31">
              <w:rPr>
                <w:b/>
                <w:color w:val="000000"/>
                <w:sz w:val="22"/>
                <w:szCs w:val="22"/>
              </w:rPr>
              <w:t>v Kč</w:t>
            </w:r>
          </w:p>
        </w:tc>
      </w:tr>
      <w:tr w:rsidR="001F0C31" w:rsidRPr="001F0C31" w14:paraId="4FBC60BF" w14:textId="77777777" w:rsidTr="00B04E33">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2EA7552" w14:textId="1A78FBF3" w:rsidR="001F0C31" w:rsidRPr="001F0C31" w:rsidRDefault="001F0C31" w:rsidP="001F0C31">
            <w:pPr>
              <w:rPr>
                <w:color w:val="000000"/>
                <w:sz w:val="22"/>
                <w:szCs w:val="22"/>
              </w:rPr>
            </w:pPr>
            <w:r w:rsidRPr="001F0C31">
              <w:rPr>
                <w:color w:val="000000"/>
                <w:sz w:val="22"/>
                <w:szCs w:val="22"/>
              </w:rPr>
              <w:t>rodinná sk. dětského domova</w:t>
            </w:r>
          </w:p>
        </w:tc>
        <w:tc>
          <w:tcPr>
            <w:tcW w:w="1134" w:type="dxa"/>
            <w:tcBorders>
              <w:top w:val="nil"/>
              <w:left w:val="nil"/>
              <w:bottom w:val="single" w:sz="4" w:space="0" w:color="auto"/>
              <w:right w:val="single" w:sz="4" w:space="0" w:color="auto"/>
            </w:tcBorders>
            <w:shd w:val="clear" w:color="auto" w:fill="auto"/>
            <w:noWrap/>
          </w:tcPr>
          <w:p w14:paraId="47A38023" w14:textId="0A7C86CD" w:rsidR="001F0C31" w:rsidRPr="001F0C31" w:rsidRDefault="001F0C31" w:rsidP="001F0C31">
            <w:pPr>
              <w:jc w:val="right"/>
              <w:rPr>
                <w:color w:val="000000"/>
                <w:sz w:val="22"/>
                <w:szCs w:val="22"/>
              </w:rPr>
            </w:pPr>
            <w:r w:rsidRPr="001F0C31">
              <w:rPr>
                <w:sz w:val="22"/>
                <w:szCs w:val="22"/>
              </w:rPr>
              <w:t>26,00</w:t>
            </w:r>
          </w:p>
        </w:tc>
        <w:tc>
          <w:tcPr>
            <w:tcW w:w="1262" w:type="dxa"/>
            <w:tcBorders>
              <w:top w:val="nil"/>
              <w:left w:val="nil"/>
              <w:bottom w:val="single" w:sz="4" w:space="0" w:color="auto"/>
              <w:right w:val="single" w:sz="4" w:space="0" w:color="auto"/>
            </w:tcBorders>
            <w:shd w:val="clear" w:color="auto" w:fill="auto"/>
            <w:noWrap/>
          </w:tcPr>
          <w:p w14:paraId="6677A524" w14:textId="53B81643" w:rsidR="001F0C31" w:rsidRPr="001F0C31" w:rsidRDefault="001F0C31" w:rsidP="001F0C31">
            <w:pPr>
              <w:jc w:val="right"/>
              <w:rPr>
                <w:color w:val="000000"/>
                <w:sz w:val="22"/>
                <w:szCs w:val="22"/>
              </w:rPr>
            </w:pPr>
            <w:r w:rsidRPr="001F0C31">
              <w:rPr>
                <w:sz w:val="22"/>
                <w:szCs w:val="22"/>
              </w:rPr>
              <w:t>87 316 487</w:t>
            </w:r>
          </w:p>
        </w:tc>
        <w:tc>
          <w:tcPr>
            <w:tcW w:w="1263" w:type="dxa"/>
            <w:tcBorders>
              <w:top w:val="nil"/>
              <w:left w:val="nil"/>
              <w:bottom w:val="single" w:sz="4" w:space="0" w:color="auto"/>
              <w:right w:val="single" w:sz="4" w:space="0" w:color="auto"/>
            </w:tcBorders>
            <w:shd w:val="clear" w:color="auto" w:fill="auto"/>
            <w:noWrap/>
          </w:tcPr>
          <w:p w14:paraId="17073B89" w14:textId="39D6FCD6" w:rsidR="001F0C31" w:rsidRPr="001F0C31" w:rsidRDefault="001F0C31" w:rsidP="001F0C31">
            <w:pPr>
              <w:jc w:val="right"/>
              <w:rPr>
                <w:sz w:val="22"/>
                <w:szCs w:val="22"/>
              </w:rPr>
            </w:pPr>
            <w:r w:rsidRPr="001F0C31">
              <w:rPr>
                <w:sz w:val="22"/>
                <w:szCs w:val="22"/>
              </w:rPr>
              <w:t>64 509 692</w:t>
            </w:r>
          </w:p>
        </w:tc>
        <w:tc>
          <w:tcPr>
            <w:tcW w:w="1378" w:type="dxa"/>
            <w:tcBorders>
              <w:top w:val="nil"/>
              <w:left w:val="nil"/>
              <w:bottom w:val="single" w:sz="4" w:space="0" w:color="auto"/>
              <w:right w:val="single" w:sz="4" w:space="0" w:color="auto"/>
            </w:tcBorders>
            <w:shd w:val="clear" w:color="auto" w:fill="auto"/>
            <w:noWrap/>
          </w:tcPr>
          <w:p w14:paraId="0B83A800" w14:textId="506992F9" w:rsidR="001F0C31" w:rsidRPr="001F0C31" w:rsidRDefault="001F0C31" w:rsidP="001F0C31">
            <w:pPr>
              <w:jc w:val="right"/>
              <w:rPr>
                <w:color w:val="000000"/>
                <w:sz w:val="22"/>
                <w:szCs w:val="22"/>
              </w:rPr>
            </w:pPr>
            <w:r w:rsidRPr="001F0C31">
              <w:rPr>
                <w:sz w:val="22"/>
                <w:szCs w:val="22"/>
              </w:rPr>
              <w:t>22 449 373</w:t>
            </w:r>
          </w:p>
        </w:tc>
        <w:tc>
          <w:tcPr>
            <w:tcW w:w="1247" w:type="dxa"/>
            <w:tcBorders>
              <w:top w:val="nil"/>
              <w:left w:val="nil"/>
              <w:bottom w:val="single" w:sz="4" w:space="0" w:color="auto"/>
              <w:right w:val="single" w:sz="4" w:space="0" w:color="auto"/>
            </w:tcBorders>
            <w:shd w:val="clear" w:color="auto" w:fill="auto"/>
            <w:noWrap/>
          </w:tcPr>
          <w:p w14:paraId="54D0C870" w14:textId="10499F13" w:rsidR="001F0C31" w:rsidRPr="001F0C31" w:rsidRDefault="001F0C31" w:rsidP="001F0C31">
            <w:pPr>
              <w:jc w:val="right"/>
              <w:rPr>
                <w:color w:val="000000"/>
                <w:sz w:val="22"/>
                <w:szCs w:val="22"/>
              </w:rPr>
            </w:pPr>
            <w:r w:rsidRPr="001F0C31">
              <w:rPr>
                <w:sz w:val="22"/>
                <w:szCs w:val="22"/>
              </w:rPr>
              <w:t>357 422</w:t>
            </w:r>
          </w:p>
        </w:tc>
      </w:tr>
      <w:tr w:rsidR="001F0C31" w:rsidRPr="001F0C31" w14:paraId="07C86651" w14:textId="77777777" w:rsidTr="00B04E33">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8D86811" w14:textId="77777777" w:rsidR="001F0C31" w:rsidRPr="001F0C31" w:rsidRDefault="001F0C31" w:rsidP="001F0C31">
            <w:pPr>
              <w:rPr>
                <w:color w:val="000000"/>
                <w:sz w:val="22"/>
                <w:szCs w:val="22"/>
              </w:rPr>
            </w:pPr>
            <w:r w:rsidRPr="001F0C31">
              <w:rPr>
                <w:color w:val="000000"/>
                <w:sz w:val="22"/>
                <w:szCs w:val="22"/>
              </w:rPr>
              <w:t>ubytovaný v internátu</w:t>
            </w:r>
          </w:p>
        </w:tc>
        <w:tc>
          <w:tcPr>
            <w:tcW w:w="1134" w:type="dxa"/>
            <w:tcBorders>
              <w:top w:val="nil"/>
              <w:left w:val="nil"/>
              <w:bottom w:val="single" w:sz="4" w:space="0" w:color="auto"/>
              <w:right w:val="single" w:sz="4" w:space="0" w:color="auto"/>
            </w:tcBorders>
            <w:shd w:val="clear" w:color="auto" w:fill="auto"/>
            <w:noWrap/>
          </w:tcPr>
          <w:p w14:paraId="711CFE22" w14:textId="37480241" w:rsidR="001F0C31" w:rsidRPr="001F0C31" w:rsidRDefault="001F0C31" w:rsidP="001F0C31">
            <w:pPr>
              <w:jc w:val="right"/>
              <w:rPr>
                <w:color w:val="000000"/>
                <w:sz w:val="22"/>
                <w:szCs w:val="22"/>
              </w:rPr>
            </w:pPr>
            <w:r w:rsidRPr="001F0C31">
              <w:rPr>
                <w:sz w:val="22"/>
                <w:szCs w:val="22"/>
              </w:rPr>
              <w:t>86,00</w:t>
            </w:r>
          </w:p>
        </w:tc>
        <w:tc>
          <w:tcPr>
            <w:tcW w:w="1262" w:type="dxa"/>
            <w:tcBorders>
              <w:top w:val="nil"/>
              <w:left w:val="nil"/>
              <w:bottom w:val="single" w:sz="4" w:space="0" w:color="auto"/>
              <w:right w:val="single" w:sz="4" w:space="0" w:color="auto"/>
            </w:tcBorders>
            <w:shd w:val="clear" w:color="auto" w:fill="auto"/>
            <w:noWrap/>
          </w:tcPr>
          <w:p w14:paraId="004E53C5" w14:textId="583ADC69" w:rsidR="001F0C31" w:rsidRPr="001F0C31" w:rsidRDefault="001F0C31" w:rsidP="001F0C31">
            <w:pPr>
              <w:jc w:val="right"/>
              <w:rPr>
                <w:color w:val="000000"/>
                <w:sz w:val="22"/>
                <w:szCs w:val="22"/>
              </w:rPr>
            </w:pPr>
            <w:r w:rsidRPr="001F0C31">
              <w:rPr>
                <w:sz w:val="22"/>
                <w:szCs w:val="22"/>
              </w:rPr>
              <w:t>13 117 014</w:t>
            </w:r>
          </w:p>
        </w:tc>
        <w:tc>
          <w:tcPr>
            <w:tcW w:w="1263" w:type="dxa"/>
            <w:tcBorders>
              <w:top w:val="nil"/>
              <w:left w:val="nil"/>
              <w:bottom w:val="single" w:sz="4" w:space="0" w:color="auto"/>
              <w:right w:val="single" w:sz="4" w:space="0" w:color="auto"/>
            </w:tcBorders>
            <w:shd w:val="clear" w:color="auto" w:fill="auto"/>
            <w:noWrap/>
          </w:tcPr>
          <w:p w14:paraId="57F051F4" w14:textId="07AE8080" w:rsidR="001F0C31" w:rsidRPr="001F0C31" w:rsidRDefault="001F0C31" w:rsidP="001F0C31">
            <w:pPr>
              <w:jc w:val="right"/>
              <w:rPr>
                <w:sz w:val="22"/>
                <w:szCs w:val="22"/>
              </w:rPr>
            </w:pPr>
            <w:r w:rsidRPr="001F0C31">
              <w:rPr>
                <w:sz w:val="22"/>
                <w:szCs w:val="22"/>
              </w:rPr>
              <w:t>9 691 168</w:t>
            </w:r>
          </w:p>
        </w:tc>
        <w:tc>
          <w:tcPr>
            <w:tcW w:w="1378" w:type="dxa"/>
            <w:tcBorders>
              <w:top w:val="nil"/>
              <w:left w:val="nil"/>
              <w:bottom w:val="single" w:sz="4" w:space="0" w:color="auto"/>
              <w:right w:val="single" w:sz="4" w:space="0" w:color="auto"/>
            </w:tcBorders>
            <w:shd w:val="clear" w:color="auto" w:fill="auto"/>
            <w:noWrap/>
          </w:tcPr>
          <w:p w14:paraId="3984EFFC" w14:textId="7D383BC9" w:rsidR="001F0C31" w:rsidRPr="001F0C31" w:rsidRDefault="001F0C31" w:rsidP="001F0C31">
            <w:pPr>
              <w:jc w:val="right"/>
              <w:rPr>
                <w:color w:val="000000"/>
                <w:sz w:val="22"/>
                <w:szCs w:val="22"/>
              </w:rPr>
            </w:pPr>
            <w:r w:rsidRPr="001F0C31">
              <w:rPr>
                <w:sz w:val="22"/>
                <w:szCs w:val="22"/>
              </w:rPr>
              <w:t>3 372 526</w:t>
            </w:r>
          </w:p>
        </w:tc>
        <w:tc>
          <w:tcPr>
            <w:tcW w:w="1247" w:type="dxa"/>
            <w:tcBorders>
              <w:top w:val="nil"/>
              <w:left w:val="nil"/>
              <w:bottom w:val="single" w:sz="4" w:space="0" w:color="auto"/>
              <w:right w:val="single" w:sz="4" w:space="0" w:color="auto"/>
            </w:tcBorders>
            <w:shd w:val="clear" w:color="auto" w:fill="auto"/>
            <w:noWrap/>
          </w:tcPr>
          <w:p w14:paraId="3BF75F74" w14:textId="73684A48" w:rsidR="001F0C31" w:rsidRPr="001F0C31" w:rsidRDefault="001F0C31" w:rsidP="001F0C31">
            <w:pPr>
              <w:jc w:val="right"/>
              <w:rPr>
                <w:color w:val="000000"/>
                <w:sz w:val="22"/>
                <w:szCs w:val="22"/>
              </w:rPr>
            </w:pPr>
            <w:r w:rsidRPr="001F0C31">
              <w:rPr>
                <w:sz w:val="22"/>
                <w:szCs w:val="22"/>
              </w:rPr>
              <w:t>53 320</w:t>
            </w:r>
          </w:p>
        </w:tc>
      </w:tr>
      <w:tr w:rsidR="001F0C31" w:rsidRPr="001F0C31" w14:paraId="3941C90E" w14:textId="77777777" w:rsidTr="00B04E33">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E09F7B6" w14:textId="77777777" w:rsidR="001F0C31" w:rsidRPr="001F0C31" w:rsidRDefault="001F0C31" w:rsidP="001F0C31">
            <w:pPr>
              <w:rPr>
                <w:color w:val="000000"/>
                <w:sz w:val="22"/>
                <w:szCs w:val="22"/>
              </w:rPr>
            </w:pPr>
            <w:r w:rsidRPr="001F0C31">
              <w:rPr>
                <w:color w:val="000000"/>
                <w:sz w:val="22"/>
                <w:szCs w:val="22"/>
              </w:rPr>
              <w:t>ubytovaný v domově mládeže</w:t>
            </w:r>
          </w:p>
        </w:tc>
        <w:tc>
          <w:tcPr>
            <w:tcW w:w="1134" w:type="dxa"/>
            <w:tcBorders>
              <w:top w:val="nil"/>
              <w:left w:val="nil"/>
              <w:bottom w:val="single" w:sz="4" w:space="0" w:color="auto"/>
              <w:right w:val="single" w:sz="4" w:space="0" w:color="auto"/>
            </w:tcBorders>
            <w:shd w:val="clear" w:color="auto" w:fill="auto"/>
            <w:noWrap/>
          </w:tcPr>
          <w:p w14:paraId="4F70C321" w14:textId="505E400E" w:rsidR="001F0C31" w:rsidRPr="001F0C31" w:rsidRDefault="001F0C31" w:rsidP="001F0C31">
            <w:pPr>
              <w:jc w:val="right"/>
              <w:rPr>
                <w:color w:val="000000"/>
                <w:sz w:val="22"/>
                <w:szCs w:val="22"/>
              </w:rPr>
            </w:pPr>
            <w:r w:rsidRPr="001F0C31">
              <w:rPr>
                <w:sz w:val="22"/>
                <w:szCs w:val="22"/>
              </w:rPr>
              <w:t>1 606,00</w:t>
            </w:r>
          </w:p>
        </w:tc>
        <w:tc>
          <w:tcPr>
            <w:tcW w:w="1262" w:type="dxa"/>
            <w:tcBorders>
              <w:top w:val="nil"/>
              <w:left w:val="nil"/>
              <w:bottom w:val="single" w:sz="4" w:space="0" w:color="auto"/>
              <w:right w:val="single" w:sz="4" w:space="0" w:color="auto"/>
            </w:tcBorders>
            <w:shd w:val="clear" w:color="auto" w:fill="auto"/>
            <w:noWrap/>
          </w:tcPr>
          <w:p w14:paraId="33FAA3CD" w14:textId="65267A57" w:rsidR="001F0C31" w:rsidRPr="001F0C31" w:rsidRDefault="001F0C31" w:rsidP="001F0C31">
            <w:pPr>
              <w:jc w:val="right"/>
              <w:rPr>
                <w:color w:val="000000"/>
                <w:sz w:val="22"/>
                <w:szCs w:val="22"/>
              </w:rPr>
            </w:pPr>
            <w:r w:rsidRPr="001F0C31">
              <w:rPr>
                <w:sz w:val="22"/>
                <w:szCs w:val="22"/>
              </w:rPr>
              <w:t>69 914 949</w:t>
            </w:r>
          </w:p>
        </w:tc>
        <w:tc>
          <w:tcPr>
            <w:tcW w:w="1263" w:type="dxa"/>
            <w:tcBorders>
              <w:top w:val="nil"/>
              <w:left w:val="nil"/>
              <w:bottom w:val="single" w:sz="4" w:space="0" w:color="auto"/>
              <w:right w:val="single" w:sz="4" w:space="0" w:color="auto"/>
            </w:tcBorders>
            <w:shd w:val="clear" w:color="auto" w:fill="auto"/>
            <w:noWrap/>
          </w:tcPr>
          <w:p w14:paraId="316ACF02" w14:textId="4C847169" w:rsidR="001F0C31" w:rsidRPr="001F0C31" w:rsidRDefault="001F0C31" w:rsidP="001F0C31">
            <w:pPr>
              <w:jc w:val="right"/>
              <w:rPr>
                <w:sz w:val="22"/>
                <w:szCs w:val="22"/>
              </w:rPr>
            </w:pPr>
            <w:r w:rsidRPr="001F0C31">
              <w:rPr>
                <w:sz w:val="22"/>
                <w:szCs w:val="22"/>
              </w:rPr>
              <w:t>51 639 324</w:t>
            </w:r>
          </w:p>
        </w:tc>
        <w:tc>
          <w:tcPr>
            <w:tcW w:w="1378" w:type="dxa"/>
            <w:tcBorders>
              <w:top w:val="nil"/>
              <w:left w:val="nil"/>
              <w:bottom w:val="single" w:sz="4" w:space="0" w:color="auto"/>
              <w:right w:val="single" w:sz="4" w:space="0" w:color="auto"/>
            </w:tcBorders>
            <w:shd w:val="clear" w:color="auto" w:fill="auto"/>
            <w:noWrap/>
          </w:tcPr>
          <w:p w14:paraId="699449E7" w14:textId="715A8C59" w:rsidR="001F0C31" w:rsidRPr="001F0C31" w:rsidRDefault="001F0C31" w:rsidP="001F0C31">
            <w:pPr>
              <w:jc w:val="right"/>
              <w:rPr>
                <w:color w:val="000000"/>
                <w:sz w:val="22"/>
                <w:szCs w:val="22"/>
              </w:rPr>
            </w:pPr>
            <w:r w:rsidRPr="001F0C31">
              <w:rPr>
                <w:sz w:val="22"/>
                <w:szCs w:val="22"/>
              </w:rPr>
              <w:t>17 970 485</w:t>
            </w:r>
          </w:p>
        </w:tc>
        <w:tc>
          <w:tcPr>
            <w:tcW w:w="1247" w:type="dxa"/>
            <w:tcBorders>
              <w:top w:val="nil"/>
              <w:left w:val="nil"/>
              <w:bottom w:val="single" w:sz="4" w:space="0" w:color="auto"/>
              <w:right w:val="single" w:sz="4" w:space="0" w:color="auto"/>
            </w:tcBorders>
            <w:shd w:val="clear" w:color="auto" w:fill="auto"/>
            <w:noWrap/>
          </w:tcPr>
          <w:p w14:paraId="78E41C60" w14:textId="02F696B5" w:rsidR="001F0C31" w:rsidRPr="001F0C31" w:rsidRDefault="001F0C31" w:rsidP="001F0C31">
            <w:pPr>
              <w:jc w:val="right"/>
              <w:rPr>
                <w:color w:val="000000"/>
                <w:sz w:val="22"/>
                <w:szCs w:val="22"/>
              </w:rPr>
            </w:pPr>
            <w:r w:rsidRPr="001F0C31">
              <w:rPr>
                <w:sz w:val="22"/>
                <w:szCs w:val="22"/>
              </w:rPr>
              <w:t>305 140</w:t>
            </w:r>
          </w:p>
        </w:tc>
      </w:tr>
      <w:tr w:rsidR="001F0C31" w:rsidRPr="001F0C31" w14:paraId="3AE6D500" w14:textId="77777777" w:rsidTr="00B04E33">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BCAF0F5" w14:textId="77777777" w:rsidR="001F0C31" w:rsidRPr="001F0C31" w:rsidRDefault="001F0C31" w:rsidP="001F0C31">
            <w:pPr>
              <w:rPr>
                <w:color w:val="000000"/>
                <w:sz w:val="22"/>
                <w:szCs w:val="22"/>
              </w:rPr>
            </w:pPr>
            <w:r w:rsidRPr="001F0C31">
              <w:rPr>
                <w:color w:val="000000"/>
                <w:sz w:val="22"/>
                <w:szCs w:val="22"/>
              </w:rPr>
              <w:t>dítě, žák, student</w:t>
            </w:r>
          </w:p>
        </w:tc>
        <w:tc>
          <w:tcPr>
            <w:tcW w:w="1134" w:type="dxa"/>
            <w:tcBorders>
              <w:top w:val="nil"/>
              <w:left w:val="nil"/>
              <w:bottom w:val="single" w:sz="4" w:space="0" w:color="auto"/>
              <w:right w:val="single" w:sz="4" w:space="0" w:color="auto"/>
            </w:tcBorders>
            <w:shd w:val="clear" w:color="auto" w:fill="auto"/>
            <w:noWrap/>
          </w:tcPr>
          <w:p w14:paraId="238ABCCD" w14:textId="1543915C" w:rsidR="001F0C31" w:rsidRPr="001F0C31" w:rsidRDefault="001F0C31" w:rsidP="001F0C31">
            <w:pPr>
              <w:jc w:val="right"/>
              <w:rPr>
                <w:color w:val="000000"/>
                <w:sz w:val="22"/>
                <w:szCs w:val="22"/>
              </w:rPr>
            </w:pPr>
            <w:r w:rsidRPr="001F0C31">
              <w:rPr>
                <w:sz w:val="22"/>
                <w:szCs w:val="22"/>
              </w:rPr>
              <w:t>72 924,65</w:t>
            </w:r>
          </w:p>
        </w:tc>
        <w:tc>
          <w:tcPr>
            <w:tcW w:w="1262" w:type="dxa"/>
            <w:tcBorders>
              <w:top w:val="nil"/>
              <w:left w:val="nil"/>
              <w:bottom w:val="single" w:sz="4" w:space="0" w:color="auto"/>
              <w:right w:val="single" w:sz="4" w:space="0" w:color="auto"/>
            </w:tcBorders>
            <w:shd w:val="clear" w:color="auto" w:fill="auto"/>
            <w:noWrap/>
          </w:tcPr>
          <w:p w14:paraId="1C79B720" w14:textId="10303F6A" w:rsidR="001F0C31" w:rsidRPr="001F0C31" w:rsidRDefault="001F0C31" w:rsidP="001F0C31">
            <w:pPr>
              <w:jc w:val="right"/>
              <w:rPr>
                <w:color w:val="000000"/>
                <w:sz w:val="22"/>
                <w:szCs w:val="22"/>
              </w:rPr>
            </w:pPr>
            <w:r w:rsidRPr="001F0C31">
              <w:rPr>
                <w:sz w:val="22"/>
                <w:szCs w:val="22"/>
              </w:rPr>
              <w:t>455 635 961</w:t>
            </w:r>
          </w:p>
        </w:tc>
        <w:tc>
          <w:tcPr>
            <w:tcW w:w="1263" w:type="dxa"/>
            <w:tcBorders>
              <w:top w:val="nil"/>
              <w:left w:val="nil"/>
              <w:bottom w:val="single" w:sz="4" w:space="0" w:color="auto"/>
              <w:right w:val="single" w:sz="4" w:space="0" w:color="auto"/>
            </w:tcBorders>
            <w:shd w:val="clear" w:color="auto" w:fill="auto"/>
            <w:noWrap/>
          </w:tcPr>
          <w:p w14:paraId="04731860" w14:textId="0FFFAADB" w:rsidR="001F0C31" w:rsidRPr="001F0C31" w:rsidRDefault="001F0C31" w:rsidP="001F0C31">
            <w:pPr>
              <w:jc w:val="right"/>
              <w:rPr>
                <w:sz w:val="22"/>
                <w:szCs w:val="22"/>
              </w:rPr>
            </w:pPr>
            <w:r w:rsidRPr="001F0C31">
              <w:rPr>
                <w:sz w:val="22"/>
                <w:szCs w:val="22"/>
              </w:rPr>
              <w:t>335 339 117</w:t>
            </w:r>
          </w:p>
        </w:tc>
        <w:tc>
          <w:tcPr>
            <w:tcW w:w="1378" w:type="dxa"/>
            <w:tcBorders>
              <w:top w:val="nil"/>
              <w:left w:val="nil"/>
              <w:bottom w:val="single" w:sz="4" w:space="0" w:color="auto"/>
              <w:right w:val="single" w:sz="4" w:space="0" w:color="auto"/>
            </w:tcBorders>
            <w:shd w:val="clear" w:color="auto" w:fill="auto"/>
            <w:noWrap/>
          </w:tcPr>
          <w:p w14:paraId="4E7AD4DE" w14:textId="39C715C3" w:rsidR="001F0C31" w:rsidRPr="001F0C31" w:rsidRDefault="001F0C31" w:rsidP="001F0C31">
            <w:pPr>
              <w:jc w:val="right"/>
              <w:rPr>
                <w:color w:val="000000"/>
                <w:sz w:val="22"/>
                <w:szCs w:val="22"/>
              </w:rPr>
            </w:pPr>
            <w:r w:rsidRPr="001F0C31">
              <w:rPr>
                <w:sz w:val="22"/>
                <w:szCs w:val="22"/>
              </w:rPr>
              <w:t>116 698 013</w:t>
            </w:r>
          </w:p>
        </w:tc>
        <w:tc>
          <w:tcPr>
            <w:tcW w:w="1247" w:type="dxa"/>
            <w:tcBorders>
              <w:top w:val="nil"/>
              <w:left w:val="nil"/>
              <w:bottom w:val="single" w:sz="4" w:space="0" w:color="auto"/>
              <w:right w:val="single" w:sz="4" w:space="0" w:color="auto"/>
            </w:tcBorders>
            <w:shd w:val="clear" w:color="auto" w:fill="auto"/>
            <w:noWrap/>
          </w:tcPr>
          <w:p w14:paraId="5945391D" w14:textId="49005C9E" w:rsidR="001F0C31" w:rsidRPr="001F0C31" w:rsidRDefault="001F0C31" w:rsidP="001F0C31">
            <w:pPr>
              <w:jc w:val="right"/>
              <w:rPr>
                <w:color w:val="000000"/>
                <w:sz w:val="22"/>
                <w:szCs w:val="22"/>
              </w:rPr>
            </w:pPr>
            <w:r w:rsidRPr="001F0C31">
              <w:rPr>
                <w:sz w:val="22"/>
                <w:szCs w:val="22"/>
              </w:rPr>
              <w:t>3 598 831</w:t>
            </w:r>
          </w:p>
        </w:tc>
      </w:tr>
      <w:tr w:rsidR="001F0C31" w:rsidRPr="001F0C31" w14:paraId="2D8616F6" w14:textId="77777777" w:rsidTr="00B04E33">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4862D47" w14:textId="77777777" w:rsidR="001F0C31" w:rsidRPr="001F0C31" w:rsidRDefault="001F0C31" w:rsidP="001F0C31">
            <w:pPr>
              <w:rPr>
                <w:color w:val="000000"/>
                <w:sz w:val="22"/>
                <w:szCs w:val="22"/>
              </w:rPr>
            </w:pPr>
            <w:r w:rsidRPr="001F0C31">
              <w:rPr>
                <w:color w:val="000000"/>
                <w:sz w:val="22"/>
                <w:szCs w:val="22"/>
              </w:rPr>
              <w:t>Liberecký kraj</w:t>
            </w:r>
          </w:p>
        </w:tc>
        <w:tc>
          <w:tcPr>
            <w:tcW w:w="1134" w:type="dxa"/>
            <w:tcBorders>
              <w:top w:val="nil"/>
              <w:left w:val="nil"/>
              <w:bottom w:val="single" w:sz="4" w:space="0" w:color="auto"/>
              <w:right w:val="single" w:sz="4" w:space="0" w:color="auto"/>
            </w:tcBorders>
            <w:shd w:val="clear" w:color="auto" w:fill="auto"/>
            <w:noWrap/>
          </w:tcPr>
          <w:p w14:paraId="6A83D32F" w14:textId="28BFC6A8" w:rsidR="001F0C31" w:rsidRPr="001F0C31" w:rsidRDefault="001F0C31" w:rsidP="001F0C31">
            <w:pPr>
              <w:jc w:val="right"/>
              <w:rPr>
                <w:color w:val="000000"/>
                <w:sz w:val="22"/>
                <w:szCs w:val="22"/>
              </w:rPr>
            </w:pPr>
            <w:r w:rsidRPr="001F0C31">
              <w:rPr>
                <w:sz w:val="22"/>
                <w:szCs w:val="22"/>
              </w:rPr>
              <w:t>74 642,65</w:t>
            </w:r>
          </w:p>
        </w:tc>
        <w:tc>
          <w:tcPr>
            <w:tcW w:w="1262" w:type="dxa"/>
            <w:tcBorders>
              <w:top w:val="nil"/>
              <w:left w:val="nil"/>
              <w:bottom w:val="single" w:sz="4" w:space="0" w:color="auto"/>
              <w:right w:val="single" w:sz="4" w:space="0" w:color="auto"/>
            </w:tcBorders>
            <w:shd w:val="clear" w:color="auto" w:fill="auto"/>
            <w:noWrap/>
          </w:tcPr>
          <w:p w14:paraId="5E499C79" w14:textId="25FD76E3" w:rsidR="001F0C31" w:rsidRPr="001F0C31" w:rsidRDefault="001F0C31" w:rsidP="001F0C31">
            <w:pPr>
              <w:jc w:val="right"/>
              <w:rPr>
                <w:color w:val="000000"/>
                <w:sz w:val="22"/>
                <w:szCs w:val="22"/>
              </w:rPr>
            </w:pPr>
            <w:r w:rsidRPr="001F0C31">
              <w:rPr>
                <w:sz w:val="22"/>
                <w:szCs w:val="22"/>
              </w:rPr>
              <w:t>625 984 411</w:t>
            </w:r>
          </w:p>
        </w:tc>
        <w:tc>
          <w:tcPr>
            <w:tcW w:w="1263" w:type="dxa"/>
            <w:tcBorders>
              <w:top w:val="nil"/>
              <w:left w:val="nil"/>
              <w:bottom w:val="single" w:sz="4" w:space="0" w:color="auto"/>
              <w:right w:val="single" w:sz="4" w:space="0" w:color="auto"/>
            </w:tcBorders>
            <w:shd w:val="clear" w:color="auto" w:fill="auto"/>
            <w:noWrap/>
          </w:tcPr>
          <w:p w14:paraId="4904A519" w14:textId="5E4A41A3" w:rsidR="001F0C31" w:rsidRPr="001F0C31" w:rsidRDefault="001F0C31" w:rsidP="001F0C31">
            <w:pPr>
              <w:jc w:val="right"/>
              <w:rPr>
                <w:sz w:val="22"/>
                <w:szCs w:val="22"/>
              </w:rPr>
            </w:pPr>
            <w:r w:rsidRPr="001F0C31">
              <w:rPr>
                <w:sz w:val="22"/>
                <w:szCs w:val="22"/>
              </w:rPr>
              <w:t>461 179 301</w:t>
            </w:r>
          </w:p>
        </w:tc>
        <w:tc>
          <w:tcPr>
            <w:tcW w:w="1378" w:type="dxa"/>
            <w:tcBorders>
              <w:top w:val="nil"/>
              <w:left w:val="nil"/>
              <w:bottom w:val="single" w:sz="4" w:space="0" w:color="auto"/>
              <w:right w:val="single" w:sz="4" w:space="0" w:color="auto"/>
            </w:tcBorders>
            <w:shd w:val="clear" w:color="auto" w:fill="auto"/>
            <w:noWrap/>
          </w:tcPr>
          <w:p w14:paraId="523E9370" w14:textId="259AB52E" w:rsidR="001F0C31" w:rsidRPr="001F0C31" w:rsidRDefault="001F0C31" w:rsidP="001F0C31">
            <w:pPr>
              <w:jc w:val="right"/>
              <w:rPr>
                <w:color w:val="000000"/>
                <w:sz w:val="22"/>
                <w:szCs w:val="22"/>
              </w:rPr>
            </w:pPr>
            <w:r w:rsidRPr="001F0C31">
              <w:rPr>
                <w:sz w:val="22"/>
                <w:szCs w:val="22"/>
              </w:rPr>
              <w:t>160 490 397</w:t>
            </w:r>
          </w:p>
        </w:tc>
        <w:tc>
          <w:tcPr>
            <w:tcW w:w="1247" w:type="dxa"/>
            <w:tcBorders>
              <w:top w:val="nil"/>
              <w:left w:val="nil"/>
              <w:bottom w:val="single" w:sz="4" w:space="0" w:color="auto"/>
              <w:right w:val="single" w:sz="4" w:space="0" w:color="auto"/>
            </w:tcBorders>
            <w:shd w:val="clear" w:color="auto" w:fill="auto"/>
            <w:noWrap/>
          </w:tcPr>
          <w:p w14:paraId="45AB03FB" w14:textId="2DEE0274" w:rsidR="001F0C31" w:rsidRPr="001F0C31" w:rsidRDefault="001F0C31" w:rsidP="001F0C31">
            <w:pPr>
              <w:jc w:val="right"/>
              <w:rPr>
                <w:color w:val="000000"/>
                <w:sz w:val="22"/>
                <w:szCs w:val="22"/>
              </w:rPr>
            </w:pPr>
            <w:r w:rsidRPr="001F0C31">
              <w:rPr>
                <w:sz w:val="22"/>
                <w:szCs w:val="22"/>
              </w:rPr>
              <w:t>4 314 713</w:t>
            </w:r>
          </w:p>
        </w:tc>
      </w:tr>
    </w:tbl>
    <w:p w14:paraId="58D23996" w14:textId="2D6219E9" w:rsidR="005E472B" w:rsidRPr="00C36D3D" w:rsidRDefault="005E472B" w:rsidP="00D4269E">
      <w:pPr>
        <w:jc w:val="both"/>
      </w:pPr>
    </w:p>
    <w:p w14:paraId="31A7217A" w14:textId="77777777" w:rsidR="00DF4791" w:rsidRPr="00C36D3D" w:rsidRDefault="00DF4791" w:rsidP="00D4269E">
      <w:pPr>
        <w:jc w:val="both"/>
      </w:pPr>
    </w:p>
    <w:p w14:paraId="6E324A98" w14:textId="727947E3" w:rsidR="002D2329" w:rsidRDefault="002D2329" w:rsidP="00D4269E">
      <w:pPr>
        <w:pStyle w:val="Nadpis1"/>
      </w:pPr>
      <w:r>
        <w:t>Krajské normativy</w:t>
      </w:r>
    </w:p>
    <w:p w14:paraId="31C7D763" w14:textId="77777777" w:rsidR="00D554EE" w:rsidRPr="00D554EE" w:rsidRDefault="00D554EE" w:rsidP="00D554EE"/>
    <w:p w14:paraId="1A649DF6" w14:textId="310105BE" w:rsidR="002D2329" w:rsidRDefault="002D2329" w:rsidP="00D4269E">
      <w:pPr>
        <w:jc w:val="both"/>
      </w:pPr>
      <w:r>
        <w:t xml:space="preserve">Krajské normativy slouží k </w:t>
      </w:r>
      <w:r w:rsidRPr="005C716B">
        <w:t>rozpisu rozpočtových zdrojů</w:t>
      </w:r>
      <w:r>
        <w:t xml:space="preserve"> </w:t>
      </w:r>
      <w:r w:rsidRPr="005C716B">
        <w:t>z rozpočtů krajů do rozpočtů jednotlivých právnických osob vykonávají</w:t>
      </w:r>
      <w:r>
        <w:t xml:space="preserve">cích činnost školských zařízení, s výjimkou pedagogické práce ve školních družinách </w:t>
      </w:r>
      <w:r w:rsidRPr="005C716B">
        <w:t>(§ 161a odst. 2 a § 161b odst. 2 školského zákona)</w:t>
      </w:r>
      <w:r>
        <w:t xml:space="preserve">. </w:t>
      </w:r>
      <w:r w:rsidRPr="005C716B">
        <w:t>Členění krajských normativů, ukazatele rozhodné pro jejich stanovení a</w:t>
      </w:r>
      <w:r>
        <w:t>j</w:t>
      </w:r>
      <w:r w:rsidR="005D23CA">
        <w:t>. stanoví vyhláška č. </w:t>
      </w:r>
      <w:r w:rsidRPr="005C716B">
        <w:t>310/2018 Sb., o krajských normativech</w:t>
      </w:r>
      <w:r>
        <w:t xml:space="preserve">, v platném znění (dále jen </w:t>
      </w:r>
      <w:r w:rsidRPr="003D3402">
        <w:t>vyhláška</w:t>
      </w:r>
      <w:r>
        <w:t>)</w:t>
      </w:r>
      <w:r w:rsidRPr="005C716B">
        <w:t>.</w:t>
      </w:r>
    </w:p>
    <w:p w14:paraId="3FA5C410" w14:textId="77777777" w:rsidR="001F0C31" w:rsidRDefault="001F0C31" w:rsidP="00D4269E">
      <w:pPr>
        <w:jc w:val="both"/>
      </w:pPr>
    </w:p>
    <w:p w14:paraId="2980835B" w14:textId="631E896A" w:rsidR="001F0C31" w:rsidRDefault="001F0C31" w:rsidP="00D4269E">
      <w:pPr>
        <w:jc w:val="both"/>
      </w:pPr>
      <w:r>
        <w:rPr>
          <w:b/>
          <w:noProof/>
        </w:rPr>
        <w:lastRenderedPageBreak/>
        <mc:AlternateContent>
          <mc:Choice Requires="wps">
            <w:drawing>
              <wp:inline distT="0" distB="0" distL="0" distR="0" wp14:anchorId="258A8924" wp14:editId="17EADC9F">
                <wp:extent cx="5760000" cy="1497820"/>
                <wp:effectExtent l="0" t="0" r="0" b="7620"/>
                <wp:docPr id="1338009365" name="Textové pole 1"/>
                <wp:cNvGraphicFramePr/>
                <a:graphic xmlns:a="http://schemas.openxmlformats.org/drawingml/2006/main">
                  <a:graphicData uri="http://schemas.microsoft.com/office/word/2010/wordprocessingShape">
                    <wps:wsp>
                      <wps:cNvSpPr txBox="1"/>
                      <wps:spPr>
                        <a:xfrm>
                          <a:off x="0" y="0"/>
                          <a:ext cx="5760000" cy="1497820"/>
                        </a:xfrm>
                        <a:prstGeom prst="rect">
                          <a:avLst/>
                        </a:prstGeom>
                        <a:solidFill>
                          <a:schemeClr val="bg1">
                            <a:lumMod val="95000"/>
                          </a:schemeClr>
                        </a:solidFill>
                        <a:ln w="6350">
                          <a:noFill/>
                        </a:ln>
                      </wps:spPr>
                      <wps:txbx>
                        <w:txbxContent>
                          <w:p w14:paraId="423C11CD" w14:textId="1DD4588F" w:rsidR="001F0C31" w:rsidRDefault="001F0C31" w:rsidP="001F0C31">
                            <w:pPr>
                              <w:pStyle w:val="Zkladntext31"/>
                              <w:rPr>
                                <w:bCs/>
                                <w:color w:val="000000"/>
                              </w:rPr>
                            </w:pPr>
                            <w:r>
                              <w:rPr>
                                <w:bCs/>
                                <w:color w:val="000000"/>
                              </w:rPr>
                              <w:t>V souladu s vyhláškou MŠMT č, 310/2018 Sb., o krajských normativech, v platném znění, jsou normativy stanoveny na období celého kalendářního roku 2025 (tj. od ledna do</w:t>
                            </w:r>
                            <w:r w:rsidR="007C47D5">
                              <w:rPr>
                                <w:bCs/>
                                <w:color w:val="000000"/>
                              </w:rPr>
                              <w:t> </w:t>
                            </w:r>
                            <w:r>
                              <w:rPr>
                                <w:bCs/>
                                <w:color w:val="000000"/>
                              </w:rPr>
                              <w:t>prosince).</w:t>
                            </w:r>
                          </w:p>
                          <w:p w14:paraId="1583B3DA" w14:textId="32CE1E88" w:rsidR="001F0C31" w:rsidRPr="00B41456" w:rsidRDefault="001F0C31" w:rsidP="001F0C31">
                            <w:pPr>
                              <w:pStyle w:val="Zkladntext31"/>
                              <w:rPr>
                                <w:bCs/>
                                <w:color w:val="000000"/>
                              </w:rPr>
                            </w:pPr>
                            <w:r>
                              <w:rPr>
                                <w:bCs/>
                                <w:color w:val="000000"/>
                              </w:rPr>
                              <w:t xml:space="preserve">Na základě dotace přidělené z MŠMT do rozpočtu Libereckého kraje jsou aktuálně kryty u nepedagogických pracovníků platy, související odvody a příspěvek na FKSP </w:t>
                            </w:r>
                            <w:r w:rsidR="004B1680">
                              <w:rPr>
                                <w:bCs/>
                                <w:color w:val="000000"/>
                              </w:rPr>
                              <w:t xml:space="preserve">a ostatní neinvestiční výdaje </w:t>
                            </w:r>
                            <w:r>
                              <w:rPr>
                                <w:bCs/>
                                <w:color w:val="000000"/>
                              </w:rPr>
                              <w:t>na období 8 měsíců roku 2025, (tj. od ledna do srpna). Tomu odpovídají i rozepisované limity počtu zaměstnanců (normativní úvazky nepedagogických pracovníků jsou přepočteny na 8/12).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8A8924" id="Textové pole 1" o:spid="_x0000_s1027" type="#_x0000_t202" style="width:453.55pt;height:11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" fillcolor="#f2f2f2 [3052]" stroked="f" strokeweight=".5pt">
                <v:textbox>
                  <w:txbxContent>
                    <w:p w14:paraId="423C11CD" w14:textId="1DD4588F" w:rsidR="001F0C31" w:rsidRDefault="001F0C31" w:rsidP="001F0C31">
                      <w:pPr>
                        <w:pStyle w:val="Zkladntext31"/>
                        <w:rPr>
                          <w:bCs/>
                          <w:color w:val="000000"/>
                        </w:rPr>
                      </w:pPr>
                      <w:r>
                        <w:rPr>
                          <w:bCs/>
                          <w:color w:val="000000"/>
                        </w:rPr>
                        <w:t>V souladu s vyhláškou MŠMT č, 310/2018 Sb., o krajských normativech, v platném znění, jsou normativy stanoveny na období celého kalendářního roku 2025 (tj. od ledna do</w:t>
                      </w:r>
                      <w:r w:rsidR="007C47D5">
                        <w:rPr>
                          <w:bCs/>
                          <w:color w:val="000000"/>
                        </w:rPr>
                        <w:t> </w:t>
                      </w:r>
                      <w:r>
                        <w:rPr>
                          <w:bCs/>
                          <w:color w:val="000000"/>
                        </w:rPr>
                        <w:t>prosince).</w:t>
                      </w:r>
                    </w:p>
                    <w:p w14:paraId="1583B3DA" w14:textId="32CE1E88" w:rsidR="001F0C31" w:rsidRPr="00B41456" w:rsidRDefault="001F0C31" w:rsidP="001F0C31">
                      <w:pPr>
                        <w:pStyle w:val="Zkladntext31"/>
                        <w:rPr>
                          <w:bCs/>
                          <w:color w:val="000000"/>
                        </w:rPr>
                      </w:pPr>
                      <w:r>
                        <w:rPr>
                          <w:bCs/>
                          <w:color w:val="000000"/>
                        </w:rPr>
                        <w:t xml:space="preserve">Na základě dotace přidělené z MŠMT do rozpočtu Libereckého kraje jsou aktuálně kryty u nepedagogických pracovníků platy, související odvody a příspěvek na FKSP </w:t>
                      </w:r>
                      <w:r w:rsidR="004B1680">
                        <w:rPr>
                          <w:bCs/>
                          <w:color w:val="000000"/>
                        </w:rPr>
                        <w:t xml:space="preserve">a ostatní neinvestiční výdaje </w:t>
                      </w:r>
                      <w:r>
                        <w:rPr>
                          <w:bCs/>
                          <w:color w:val="000000"/>
                        </w:rPr>
                        <w:t>na období 8 měsíců roku 2025, (tj. od ledna do srpna). Tomu odpovídají i rozepisované limity počtu zaměstnanců (normativní úvazky nepedagogických pracovníků jsou přepočteny na 8/12).</w:t>
                      </w:r>
                    </w:p>
                  </w:txbxContent>
                </v:textbox>
                <w10:anchorlock/>
              </v:shape>
            </w:pict>
          </mc:Fallback>
        </mc:AlternateContent>
      </w:r>
    </w:p>
    <w:p w14:paraId="68E2EC70" w14:textId="77777777" w:rsidR="001F0C31" w:rsidRDefault="001F0C31" w:rsidP="00D4269E">
      <w:pPr>
        <w:jc w:val="both"/>
      </w:pPr>
    </w:p>
    <w:p w14:paraId="210C99D8" w14:textId="3F097539" w:rsidR="002D2329" w:rsidRDefault="002D2329" w:rsidP="00D4269E">
      <w:pPr>
        <w:jc w:val="both"/>
      </w:pPr>
      <w:r>
        <w:t xml:space="preserve">Vyhláška stanoví v § 1 jednotky výkonu, pro každou jednotku výkonu je pak stanoven krajský normativ, </w:t>
      </w:r>
      <w:r w:rsidRPr="00882096">
        <w:t xml:space="preserve">pokud je </w:t>
      </w:r>
      <w:r>
        <w:t xml:space="preserve">činnost </w:t>
      </w:r>
      <w:r w:rsidRPr="00882096">
        <w:t>škol a školských zařízení v rámci kraje v daném kalendářním roce realizována</w:t>
      </w:r>
      <w:r>
        <w:t>.</w:t>
      </w:r>
    </w:p>
    <w:p w14:paraId="7B76C523" w14:textId="77777777" w:rsidR="002D2329" w:rsidRDefault="002D2329" w:rsidP="00D4269E">
      <w:pPr>
        <w:jc w:val="both"/>
      </w:pPr>
    </w:p>
    <w:p w14:paraId="1675CF78" w14:textId="5A9EB79F" w:rsidR="002D2329" w:rsidRDefault="002D2329" w:rsidP="00D4269E">
      <w:pPr>
        <w:pStyle w:val="Nadpis2"/>
      </w:pPr>
      <w:r>
        <w:t>Jednotky výkonu</w:t>
      </w:r>
    </w:p>
    <w:p w14:paraId="40A4FCE5" w14:textId="6D77954F" w:rsidR="002D2329" w:rsidRDefault="002D2329" w:rsidP="00D4269E">
      <w:pPr>
        <w:jc w:val="both"/>
      </w:pPr>
      <w:r>
        <w:t>Jednotkami výkonu, pro které byl stanoven krajský normativ v rámci Libereckého kraje</w:t>
      </w:r>
      <w:r w:rsidR="007C47D5">
        <w:t xml:space="preserve"> </w:t>
      </w:r>
      <w:r>
        <w:t>pro</w:t>
      </w:r>
      <w:r w:rsidR="007C47D5">
        <w:t> </w:t>
      </w:r>
      <w:r>
        <w:t>rok</w:t>
      </w:r>
      <w:r w:rsidR="007C47D5">
        <w:t> </w:t>
      </w:r>
      <w:r>
        <w:t>202</w:t>
      </w:r>
      <w:r w:rsidR="007C47D5">
        <w:t>5</w:t>
      </w:r>
      <w:r>
        <w:t>, jsou:</w:t>
      </w:r>
    </w:p>
    <w:p w14:paraId="1486AFEA" w14:textId="77777777" w:rsidR="002D2329" w:rsidRDefault="002D2329" w:rsidP="00D4269E">
      <w:pPr>
        <w:pStyle w:val="Odstavecseseznamem"/>
        <w:numPr>
          <w:ilvl w:val="2"/>
          <w:numId w:val="5"/>
        </w:numPr>
        <w:ind w:left="568" w:hanging="284"/>
      </w:pPr>
      <w:r w:rsidRPr="00D92B0E">
        <w:rPr>
          <w:b/>
        </w:rPr>
        <w:t>1 žák kurzu pro získání základního vzdělání</w:t>
      </w:r>
      <w:r>
        <w:t xml:space="preserve"> (§ 1, písm. a) vyhlášky),</w:t>
      </w:r>
    </w:p>
    <w:p w14:paraId="1A6F992E" w14:textId="77777777" w:rsidR="0030791F" w:rsidRPr="0030791F" w:rsidRDefault="002D2329" w:rsidP="00D4269E">
      <w:pPr>
        <w:pStyle w:val="Odstavecseseznamem"/>
        <w:numPr>
          <w:ilvl w:val="2"/>
          <w:numId w:val="5"/>
        </w:numPr>
        <w:ind w:left="568" w:hanging="284"/>
      </w:pPr>
      <w:r w:rsidRPr="00D92B0E">
        <w:rPr>
          <w:b/>
        </w:rPr>
        <w:t>1 dítě, 1 ž</w:t>
      </w:r>
      <w:r w:rsidR="0030791F">
        <w:rPr>
          <w:b/>
        </w:rPr>
        <w:t>ák, 1 student ve středisku</w:t>
      </w:r>
      <w:r w:rsidRPr="00D92B0E">
        <w:rPr>
          <w:b/>
        </w:rPr>
        <w:t xml:space="preserve"> volného času</w:t>
      </w:r>
      <w:r w:rsidR="0030791F">
        <w:rPr>
          <w:b/>
        </w:rPr>
        <w:t>:</w:t>
      </w:r>
    </w:p>
    <w:p w14:paraId="6BB461E9" w14:textId="61E23700" w:rsidR="008F673F" w:rsidRDefault="008F673F" w:rsidP="008F673F">
      <w:pPr>
        <w:pStyle w:val="Odstavecseseznamem"/>
        <w:numPr>
          <w:ilvl w:val="3"/>
          <w:numId w:val="5"/>
        </w:numPr>
        <w:ind w:left="993"/>
      </w:pPr>
      <w:r w:rsidRPr="008F673F">
        <w:t>1 dítě, 1 žák, 1 student, který je přijat k 1 nebo více zájmovým, výchovným, rekreačním nebo vzdělávacím činnostem s pravidelnou docházkou podle vyhlášky upravující zájmové vzdělávání, které se konají v rozsahu nejvýše 3 hodiny týdně v průměru po dobu nejméně 5 po sobě jdoucích měsíců v období školního vyučování s výjimkou období školních prázdnin,</w:t>
      </w:r>
    </w:p>
    <w:p w14:paraId="3E64EDF1" w14:textId="735B561B" w:rsidR="008F673F" w:rsidRDefault="008F673F" w:rsidP="008F673F">
      <w:pPr>
        <w:pStyle w:val="Odstavecseseznamem"/>
        <w:numPr>
          <w:ilvl w:val="3"/>
          <w:numId w:val="5"/>
        </w:numPr>
        <w:ind w:left="993"/>
      </w:pPr>
      <w:r w:rsidRPr="008F673F">
        <w:t>1 dítě, 1 žák, 1 student, který je přijat k 1 nebo více zájmovým, výchovným, rekreačním nebo vzdělávacím činnostem s pravidelnou docházkou podle vyhlášky upravující zájmové vzdělávání, které se konají v rozsahu více než 3 hodiny týdně v průměru po dobu nejméně 5 po sobě jdoucích měsíců v období školního vyučování s výjimkou období školních prázdnin,</w:t>
      </w:r>
    </w:p>
    <w:p w14:paraId="0E176BDE" w14:textId="24F0A615" w:rsidR="002D2329" w:rsidRDefault="00B34F03" w:rsidP="00B34F03">
      <w:pPr>
        <w:pStyle w:val="Odstavecseseznamem"/>
        <w:numPr>
          <w:ilvl w:val="3"/>
          <w:numId w:val="5"/>
        </w:numPr>
        <w:ind w:left="993"/>
      </w:pPr>
      <w:r w:rsidRPr="00B34F03">
        <w:t>1 dítě, 1 žák, 1 student, který je přijat k 1 nebo více táborům, a to na dobu</w:t>
      </w:r>
      <w:r>
        <w:t xml:space="preserve"> alespoň 5 po sobě jdoucích dnů </w:t>
      </w:r>
      <w:r w:rsidR="002D2329">
        <w:t>(§ 1, písm. b) vyhlášky),</w:t>
      </w:r>
    </w:p>
    <w:p w14:paraId="3C32D460" w14:textId="77777777" w:rsidR="00B34F03" w:rsidRPr="00B34F03" w:rsidRDefault="00B34F03" w:rsidP="00B34F03">
      <w:pPr>
        <w:pStyle w:val="Odstavecseseznamem"/>
        <w:numPr>
          <w:ilvl w:val="2"/>
          <w:numId w:val="5"/>
        </w:numPr>
        <w:ind w:left="568" w:hanging="284"/>
      </w:pPr>
      <w:r w:rsidRPr="00B34F03">
        <w:rPr>
          <w:b/>
        </w:rPr>
        <w:t xml:space="preserve">1 žák ve školním klubu, </w:t>
      </w:r>
      <w:r w:rsidRPr="00B34F03">
        <w:t>který se vzdělává v základní škole, v základní škole speciální, v nižším stupni šestiletého nebo osmiletého gymnázia nebo v odpovídajících ročnících v osmiletém vzdělávacím programu konzervatoře a který je přijat k 1 nebo více zájmovým, výchovným, rekreačním nebo vzdělávacím činnostem s pravidelnou</w:t>
      </w:r>
    </w:p>
    <w:p w14:paraId="050A48CF" w14:textId="144355F1" w:rsidR="00B34F03" w:rsidRPr="00B34F03" w:rsidRDefault="00B34F03" w:rsidP="00B34F03">
      <w:pPr>
        <w:pStyle w:val="Odstavecseseznamem"/>
        <w:numPr>
          <w:ilvl w:val="3"/>
          <w:numId w:val="5"/>
        </w:numPr>
        <w:ind w:left="993"/>
      </w:pPr>
      <w:r w:rsidRPr="00B34F03">
        <w:t>denní docházkou podle vyhlášky upravující zájmové vzdělávání,</w:t>
      </w:r>
    </w:p>
    <w:p w14:paraId="3391DE8B" w14:textId="5A3110F2" w:rsidR="002D2329" w:rsidRDefault="00B34F03" w:rsidP="00B34F03">
      <w:pPr>
        <w:pStyle w:val="Odstavecseseznamem"/>
        <w:numPr>
          <w:ilvl w:val="3"/>
          <w:numId w:val="5"/>
        </w:numPr>
        <w:ind w:left="993"/>
      </w:pPr>
      <w:r w:rsidRPr="00B34F03">
        <w:t>docházkou podle vyhlášky upravující zájmové vzdělávání,</w:t>
      </w:r>
      <w:r w:rsidR="002D2329">
        <w:t xml:space="preserve"> (§ 1, písm. c) vyhlášky),</w:t>
      </w:r>
    </w:p>
    <w:p w14:paraId="7E134B7D" w14:textId="6A1292CF" w:rsidR="002D2329" w:rsidRDefault="002D2329" w:rsidP="00D4269E">
      <w:pPr>
        <w:pStyle w:val="Odstavecseseznamem"/>
        <w:numPr>
          <w:ilvl w:val="2"/>
          <w:numId w:val="5"/>
        </w:numPr>
        <w:ind w:left="568" w:hanging="284"/>
      </w:pPr>
      <w:r w:rsidRPr="00D92B0E">
        <w:rPr>
          <w:b/>
        </w:rPr>
        <w:t>1 dítě, 1 žák ve školní družině</w:t>
      </w:r>
      <w:r>
        <w:t>, kteří jsou přijati k pravid</w:t>
      </w:r>
      <w:r w:rsidR="00B34F03">
        <w:t>elné denní docházce (§ 1, písm. </w:t>
      </w:r>
      <w:r>
        <w:t>d) vyhlášky),</w:t>
      </w:r>
    </w:p>
    <w:p w14:paraId="4544082D" w14:textId="38D3FE2B" w:rsidR="002D2329" w:rsidRDefault="002D2329" w:rsidP="00D4269E">
      <w:pPr>
        <w:pStyle w:val="Odstavecseseznamem"/>
        <w:numPr>
          <w:ilvl w:val="2"/>
          <w:numId w:val="5"/>
        </w:numPr>
        <w:ind w:left="568" w:hanging="284"/>
      </w:pPr>
      <w:r w:rsidRPr="00D92B0E">
        <w:rPr>
          <w:b/>
        </w:rPr>
        <w:t>1 stravovaný</w:t>
      </w:r>
      <w:r>
        <w:t xml:space="preserve">, který se zároveň vzdělává v mateřské škole, 1 stravovaný, který se zároveň vzdělává v základní škole, 1 stravovaný, který se zároveň nevzdělává v mateřské ani </w:t>
      </w:r>
      <w:r w:rsidR="005A1775">
        <w:br/>
      </w:r>
      <w:r>
        <w:t>v základní škole, pro něhož v rámci školního stravování v jednotlivých typech zařízení školního stravování je poskytován oběd, je poskytován oběd a alespoň 1 předcházející nebo navazující doplňkové jídlo, je poskytován alespoň oběd a večeře, nebo je poskytována večeře a alespoň 1 doplňkové jídlo (§ 1, písm. e) vyhlášky),</w:t>
      </w:r>
    </w:p>
    <w:p w14:paraId="5DFA734C" w14:textId="77777777" w:rsidR="002D2329" w:rsidRDefault="002D2329" w:rsidP="00D4269E">
      <w:pPr>
        <w:pStyle w:val="Odstavecseseznamem"/>
        <w:numPr>
          <w:ilvl w:val="2"/>
          <w:numId w:val="5"/>
        </w:numPr>
        <w:ind w:left="568" w:hanging="284"/>
      </w:pPr>
      <w:r w:rsidRPr="00D92B0E">
        <w:rPr>
          <w:b/>
        </w:rPr>
        <w:t>1 ubytovaný v domově mládeže</w:t>
      </w:r>
      <w:r>
        <w:t>, který se zároveň vzdělává v základní škole, střední škole nebo konzervatoři, nebo ve vyšší odborné škole (§ 1, písm. f) vyhlášky),</w:t>
      </w:r>
    </w:p>
    <w:p w14:paraId="6C26195A" w14:textId="1902C488" w:rsidR="002D2329" w:rsidRDefault="002D2329" w:rsidP="00D4269E">
      <w:pPr>
        <w:pStyle w:val="Odstavecseseznamem"/>
        <w:numPr>
          <w:ilvl w:val="2"/>
          <w:numId w:val="5"/>
        </w:numPr>
        <w:ind w:left="568" w:hanging="284"/>
      </w:pPr>
      <w:r w:rsidRPr="00D92B0E">
        <w:rPr>
          <w:b/>
        </w:rPr>
        <w:t>1 ubytovaný v internátě</w:t>
      </w:r>
      <w:r>
        <w:t xml:space="preserve">, který se zároveň vzdělává v základní škole speciální, ve třídě přípravného stupně základní školy speciální, nebo ve škole samostatně zřízené podle § 16 odst. 9 školského zákona pro děti nebo žáky s těžkým zdravotním postižením, nebo </w:t>
      </w:r>
      <w:r w:rsidR="00B81BBB">
        <w:br/>
      </w:r>
      <w:r>
        <w:lastRenderedPageBreak/>
        <w:t>ve škole samostatně zřízené podle § 16 odst. 9 školského zákona pro děti nebo žáky s jiným než těžkým zdravotním postižením (§ 1, písm. g) vyhlášky),</w:t>
      </w:r>
    </w:p>
    <w:p w14:paraId="0CA77D5F" w14:textId="77777777" w:rsidR="002D2329" w:rsidRDefault="002D2329" w:rsidP="00D4269E">
      <w:pPr>
        <w:pStyle w:val="Odstavecseseznamem"/>
        <w:numPr>
          <w:ilvl w:val="2"/>
          <w:numId w:val="5"/>
        </w:numPr>
        <w:ind w:left="568" w:hanging="284"/>
      </w:pPr>
      <w:r w:rsidRPr="00D92B0E">
        <w:rPr>
          <w:b/>
        </w:rPr>
        <w:t>1 dítě, žák nebo student</w:t>
      </w:r>
      <w:r>
        <w:t xml:space="preserve">, jemuž informační, diagnostickou, poradenskou a metodickou činnost, odborné speciálně pedagogické a pedagogicko-psychologické služby, preventivně výchovnou péči nebo pomoc při volbě vhodného vzdělávání a přípravě na budoucí povolání v předchozím školním roce zajišťovala </w:t>
      </w:r>
      <w:r w:rsidRPr="00DE14C0">
        <w:rPr>
          <w:b/>
        </w:rPr>
        <w:t>pedagogicko-psychologická poradna</w:t>
      </w:r>
      <w:r>
        <w:t xml:space="preserve"> nebo </w:t>
      </w:r>
      <w:r w:rsidRPr="00DE14C0">
        <w:rPr>
          <w:b/>
        </w:rPr>
        <w:t xml:space="preserve">speciálně pedagogické centrum </w:t>
      </w:r>
      <w:r>
        <w:t>(§ 1, písm. h) vyhlášky),</w:t>
      </w:r>
    </w:p>
    <w:p w14:paraId="108159BD" w14:textId="77777777" w:rsidR="002D2329" w:rsidRDefault="002D2329" w:rsidP="00D4269E">
      <w:pPr>
        <w:pStyle w:val="Odstavecseseznamem"/>
        <w:numPr>
          <w:ilvl w:val="2"/>
          <w:numId w:val="5"/>
        </w:numPr>
        <w:ind w:left="568" w:hanging="284"/>
      </w:pPr>
      <w:r w:rsidRPr="00D92B0E">
        <w:rPr>
          <w:b/>
        </w:rPr>
        <w:t>1 rodinná skupina v dětském domově</w:t>
      </w:r>
      <w:r>
        <w:t xml:space="preserve"> (§ 1, písm. k) vyhlášky).</w:t>
      </w:r>
    </w:p>
    <w:p w14:paraId="4D5C724A" w14:textId="77777777" w:rsidR="002D2329" w:rsidRDefault="002D2329" w:rsidP="00D4269E">
      <w:pPr>
        <w:jc w:val="both"/>
      </w:pPr>
    </w:p>
    <w:p w14:paraId="6E99576C" w14:textId="77777777" w:rsidR="002D2329" w:rsidRDefault="002D2329" w:rsidP="00D4269E">
      <w:pPr>
        <w:pStyle w:val="Nadpis2"/>
      </w:pPr>
      <w:r>
        <w:t>Ukazatele rozhodné pro stanovení krajských normativů</w:t>
      </w:r>
    </w:p>
    <w:p w14:paraId="0BBBC293" w14:textId="77777777" w:rsidR="002D2329" w:rsidRPr="006C3521" w:rsidRDefault="002D2329" w:rsidP="00D4269E">
      <w:pPr>
        <w:jc w:val="both"/>
      </w:pPr>
      <w:r w:rsidRPr="006C3521">
        <w:t>Pro stanovení krajských normativů jsou rozhodnými ukazateli:</w:t>
      </w:r>
    </w:p>
    <w:p w14:paraId="3D242A17" w14:textId="77777777" w:rsidR="002D2329" w:rsidRPr="006C3521" w:rsidRDefault="002D2329" w:rsidP="00D4269E">
      <w:pPr>
        <w:pStyle w:val="Seznamsodrkami"/>
      </w:pPr>
      <w:r w:rsidRPr="006C3521">
        <w:t>průměrný počet jednotek výkonu připadající na 1 pedagogického pracovníka (</w:t>
      </w:r>
      <w:proofErr w:type="spellStart"/>
      <w:r w:rsidRPr="006C3521">
        <w:t>Np</w:t>
      </w:r>
      <w:proofErr w:type="spellEnd"/>
      <w:r w:rsidRPr="006C3521">
        <w:t>),</w:t>
      </w:r>
    </w:p>
    <w:p w14:paraId="2F6F8009" w14:textId="77777777" w:rsidR="002D2329" w:rsidRPr="006C3521" w:rsidRDefault="002D2329" w:rsidP="00D4269E">
      <w:pPr>
        <w:pStyle w:val="Seznamsodrkami"/>
      </w:pPr>
      <w:r w:rsidRPr="006C3521">
        <w:t>průměrný počet jednotek výkonu připadající na 1 nepedagogického pracovníka (No),</w:t>
      </w:r>
    </w:p>
    <w:p w14:paraId="638F9E47" w14:textId="77777777" w:rsidR="002D2329" w:rsidRPr="006C3521" w:rsidRDefault="002D2329" w:rsidP="00D4269E">
      <w:pPr>
        <w:pStyle w:val="Seznamsodrkami"/>
      </w:pPr>
      <w:r w:rsidRPr="006C3521">
        <w:t>průměrná měsíční výše platu pedagogického pracovníka (Pp),</w:t>
      </w:r>
    </w:p>
    <w:p w14:paraId="17B7EECD" w14:textId="77777777" w:rsidR="002D2329" w:rsidRPr="006C3521" w:rsidRDefault="002D2329" w:rsidP="00D4269E">
      <w:pPr>
        <w:pStyle w:val="Seznamsodrkami"/>
      </w:pPr>
      <w:r w:rsidRPr="006C3521">
        <w:t>průměrná měsíční výše platu nepedagogického pracovníka (Po),</w:t>
      </w:r>
    </w:p>
    <w:p w14:paraId="0650DC42" w14:textId="77777777" w:rsidR="002D2329" w:rsidRDefault="002D2329" w:rsidP="00D4269E">
      <w:pPr>
        <w:pStyle w:val="Seznamsodrkami"/>
      </w:pPr>
      <w:r w:rsidRPr="006C3521">
        <w:t>průměrná roční výše ostatních neinvestičních výdajů ze státního rozpočtu připadající na</w:t>
      </w:r>
      <w:r>
        <w:t> </w:t>
      </w:r>
      <w:r w:rsidRPr="006C3521">
        <w:t>jednotku výkonu (ONIV).</w:t>
      </w:r>
    </w:p>
    <w:p w14:paraId="671E82C7" w14:textId="062DF9CD" w:rsidR="002D2329" w:rsidRDefault="002D2329" w:rsidP="00D4269E">
      <w:pPr>
        <w:pStyle w:val="Seznamsodrkami"/>
        <w:numPr>
          <w:ilvl w:val="0"/>
          <w:numId w:val="0"/>
        </w:numPr>
      </w:pPr>
      <w:r w:rsidRPr="006532A7">
        <w:t xml:space="preserve">Krajský úřad může zvýšit ukazatele </w:t>
      </w:r>
      <w:proofErr w:type="spellStart"/>
      <w:r w:rsidRPr="006532A7">
        <w:t>Np</w:t>
      </w:r>
      <w:proofErr w:type="spellEnd"/>
      <w:r w:rsidRPr="006532A7">
        <w:t xml:space="preserve"> a No stanovené podle § 2 odst. 3 a 4 </w:t>
      </w:r>
      <w:r w:rsidR="00B34F03">
        <w:t>vyhlášky až o 10 </w:t>
      </w:r>
      <w:r w:rsidRPr="006532A7">
        <w:t>%.</w:t>
      </w:r>
    </w:p>
    <w:p w14:paraId="188BEBFB" w14:textId="7F12E115" w:rsidR="002D2329" w:rsidRDefault="002D2329" w:rsidP="00D4269E">
      <w:pPr>
        <w:pStyle w:val="Seznamsodrkami"/>
        <w:numPr>
          <w:ilvl w:val="0"/>
          <w:numId w:val="0"/>
        </w:numPr>
      </w:pPr>
      <w:r w:rsidRPr="006532A7">
        <w:t xml:space="preserve">Krajský úřad může </w:t>
      </w:r>
      <w:r>
        <w:t>dále snížit hodnotu No stanovenou</w:t>
      </w:r>
      <w:r w:rsidRPr="006532A7">
        <w:t xml:space="preserve"> podle § 2 odst. </w:t>
      </w:r>
      <w:r>
        <w:t xml:space="preserve">4 </w:t>
      </w:r>
      <w:r w:rsidR="00B34F03">
        <w:t>vyhlášky až o 5 </w:t>
      </w:r>
      <w:r w:rsidRPr="006532A7">
        <w:t>%.</w:t>
      </w:r>
    </w:p>
    <w:p w14:paraId="4AE8ADF0" w14:textId="77777777" w:rsidR="002D2329" w:rsidRPr="006C3521" w:rsidRDefault="002D2329" w:rsidP="00D4269E">
      <w:pPr>
        <w:pStyle w:val="Seznamsodrkami"/>
        <w:numPr>
          <w:ilvl w:val="0"/>
          <w:numId w:val="0"/>
        </w:numPr>
      </w:pPr>
    </w:p>
    <w:p w14:paraId="5B659B0A" w14:textId="77777777" w:rsidR="002D2329" w:rsidRPr="006C3521" w:rsidRDefault="002D2329" w:rsidP="00D4269E">
      <w:pPr>
        <w:pStyle w:val="Nadpis3"/>
      </w:pPr>
      <w:r w:rsidRPr="006C3521">
        <w:t>Ukazatel průměrného počtu jednotek výkonu připadající na 1 pedagogického pracovníka</w:t>
      </w:r>
    </w:p>
    <w:p w14:paraId="63F9BA14" w14:textId="77777777" w:rsidR="002D2329" w:rsidRDefault="002D2329" w:rsidP="00D4269E">
      <w:pPr>
        <w:jc w:val="both"/>
      </w:pPr>
      <w:r>
        <w:t>V souladu s § 2 vyhlášky se stanoví ukazatel průměrného počtu jednotek výkonu připadajícího na 1 pedagogického pracovníka:</w:t>
      </w:r>
    </w:p>
    <w:p w14:paraId="7E647D3C" w14:textId="281AD450" w:rsidR="002D2329" w:rsidRDefault="002D2329" w:rsidP="00D4269E">
      <w:pPr>
        <w:pStyle w:val="Odstavecseseznamem"/>
        <w:numPr>
          <w:ilvl w:val="0"/>
          <w:numId w:val="6"/>
        </w:numPr>
      </w:pPr>
      <w:r>
        <w:t xml:space="preserve">z průměrných hodnot dosažených v průběhu uplynulého kalendářního roku nebo, nejsou-li tyto hodnoty vypovídající, z hodnot stanovených krajským úřadem </w:t>
      </w:r>
      <w:r w:rsidR="00C747F2">
        <w:br/>
      </w:r>
      <w:r>
        <w:t>v uplynulém kalendářním roce v kurzu pro získání základního vzdělání nebo v příslušném typu školského zařízení v rámci kraje,</w:t>
      </w:r>
    </w:p>
    <w:p w14:paraId="70255D2E" w14:textId="77777777" w:rsidR="002D2329" w:rsidRDefault="002D2329" w:rsidP="00D4269E">
      <w:pPr>
        <w:pStyle w:val="Odstavecseseznamem"/>
        <w:numPr>
          <w:ilvl w:val="0"/>
          <w:numId w:val="6"/>
        </w:numPr>
      </w:pPr>
      <w:r>
        <w:t>pokud se jedná o ubytovaného v domově mládeže, jako funkční závislost nebo soubor nejvýše 6 na sebe spojitě navazujících funkčních závislostí na počtu ubytovaných,</w:t>
      </w:r>
    </w:p>
    <w:p w14:paraId="6474AD9D" w14:textId="4C108CB5" w:rsidR="002D2329" w:rsidRDefault="002D2329" w:rsidP="00D4269E">
      <w:pPr>
        <w:pStyle w:val="Odstavecseseznamem"/>
        <w:numPr>
          <w:ilvl w:val="0"/>
          <w:numId w:val="6"/>
        </w:numPr>
      </w:pPr>
      <w:r>
        <w:t>pokud se jedná o dítě, žáka nebo studenta</w:t>
      </w:r>
      <w:r w:rsidR="001435B1">
        <w:t xml:space="preserve"> ve středisku volného času, </w:t>
      </w:r>
      <w:r>
        <w:t>jako funkční závislost nebo soubor nejvýše 6 na sebe spojitě navazujících funkčních závislostí na počtu dětí, žáků nebo studentů,</w:t>
      </w:r>
    </w:p>
    <w:p w14:paraId="6B353C45" w14:textId="086200A3" w:rsidR="002D2329" w:rsidRDefault="002D2329" w:rsidP="00D4269E">
      <w:pPr>
        <w:pStyle w:val="Odstavecseseznamem"/>
        <w:numPr>
          <w:ilvl w:val="0"/>
          <w:numId w:val="6"/>
        </w:numPr>
      </w:pPr>
      <w:r>
        <w:t>pokud se jedná o žáka</w:t>
      </w:r>
      <w:r w:rsidR="001435B1">
        <w:t xml:space="preserve"> ve školním klubu</w:t>
      </w:r>
      <w:r>
        <w:t xml:space="preserve">, jako funkční závislost nebo soubor nejvýše </w:t>
      </w:r>
      <w:r w:rsidR="00C747F2">
        <w:br/>
      </w:r>
      <w:r>
        <w:t>6 na sebe spojitě navazujících funkčních závislostí na počtu žáků.</w:t>
      </w:r>
      <w:r w:rsidRPr="006C3521">
        <w:t xml:space="preserve"> </w:t>
      </w:r>
    </w:p>
    <w:p w14:paraId="25469A67" w14:textId="77777777" w:rsidR="002D2329" w:rsidRDefault="002D2329" w:rsidP="00D4269E">
      <w:pPr>
        <w:jc w:val="both"/>
      </w:pPr>
    </w:p>
    <w:p w14:paraId="209E2348" w14:textId="77777777" w:rsidR="002D2329" w:rsidRDefault="002D2329" w:rsidP="00D4269E">
      <w:pPr>
        <w:jc w:val="both"/>
      </w:pPr>
      <w:r w:rsidRPr="006C3521">
        <w:t>Ukazatel průměrného počtu jednotek výkonu připadajících na 1 pedagogického pracovníka (</w:t>
      </w:r>
      <w:proofErr w:type="spellStart"/>
      <w:r w:rsidRPr="006C3521">
        <w:t>Np</w:t>
      </w:r>
      <w:proofErr w:type="spellEnd"/>
      <w:r w:rsidRPr="006C3521">
        <w:t xml:space="preserve">) byl stanoven </w:t>
      </w:r>
      <w:r>
        <w:t>v kurzu pro získání základního vzdělání a v dotčených školských zařízeních následovně</w:t>
      </w:r>
      <w:r w:rsidRPr="006C3521">
        <w:t>:</w:t>
      </w:r>
    </w:p>
    <w:p w14:paraId="6DBC4E08" w14:textId="77777777" w:rsidR="002D2329" w:rsidRDefault="002D2329" w:rsidP="00D4269E">
      <w:pPr>
        <w:jc w:val="both"/>
      </w:pPr>
    </w:p>
    <w:p w14:paraId="6C0A70AE" w14:textId="77777777" w:rsidR="002D2329" w:rsidRPr="00F95605" w:rsidRDefault="002D2329" w:rsidP="00D4269E">
      <w:pPr>
        <w:pStyle w:val="Odstavecseseznamem"/>
        <w:numPr>
          <w:ilvl w:val="0"/>
          <w:numId w:val="8"/>
        </w:numPr>
        <w:ind w:left="284" w:hanging="284"/>
        <w:rPr>
          <w:b/>
        </w:rPr>
      </w:pPr>
      <w:r w:rsidRPr="00F95605">
        <w:rPr>
          <w:b/>
        </w:rPr>
        <w:t>kurz pro získání základního vzdělání</w:t>
      </w:r>
    </w:p>
    <w:p w14:paraId="6791B314" w14:textId="543531BC" w:rsidR="002D2329" w:rsidRPr="00E33903" w:rsidRDefault="002D2329" w:rsidP="00D4269E">
      <w:pPr>
        <w:jc w:val="both"/>
      </w:pPr>
      <w:r>
        <w:t xml:space="preserve">Komponenta </w:t>
      </w:r>
      <w:proofErr w:type="spellStart"/>
      <w:r>
        <w:t>Np</w:t>
      </w:r>
      <w:proofErr w:type="spellEnd"/>
      <w:r>
        <w:t xml:space="preserve"> byla stanovena jako konstanta ve výši</w:t>
      </w:r>
      <w:r w:rsidR="005D23CA">
        <w:t xml:space="preserve"> shodné s kalendářním rokem 202</w:t>
      </w:r>
      <w:r w:rsidR="001F0C31">
        <w:t>4</w:t>
      </w:r>
      <w:r>
        <w:t>.</w:t>
      </w:r>
    </w:p>
    <w:p w14:paraId="5B8FE772" w14:textId="77777777" w:rsidR="002D2329" w:rsidRPr="006C3521" w:rsidRDefault="002D2329" w:rsidP="00D4269E">
      <w:pPr>
        <w:jc w:val="both"/>
      </w:pPr>
    </w:p>
    <w:p w14:paraId="3AAEF0CF" w14:textId="77777777" w:rsidR="002D2329" w:rsidRPr="006C3521" w:rsidRDefault="002D2329" w:rsidP="00D4269E">
      <w:pPr>
        <w:pStyle w:val="Odstavecseseznamem"/>
        <w:numPr>
          <w:ilvl w:val="0"/>
          <w:numId w:val="8"/>
        </w:numPr>
        <w:ind w:left="284" w:hanging="284"/>
        <w:rPr>
          <w:b/>
        </w:rPr>
      </w:pPr>
      <w:r>
        <w:rPr>
          <w:b/>
        </w:rPr>
        <w:t>střediska volného času</w:t>
      </w:r>
    </w:p>
    <w:p w14:paraId="6458FA5B" w14:textId="75B40C57" w:rsidR="002D2329" w:rsidRPr="006C3521" w:rsidRDefault="002D2329" w:rsidP="00D4269E">
      <w:pPr>
        <w:jc w:val="both"/>
      </w:pPr>
      <w:r>
        <w:t xml:space="preserve">Soubor hodnot </w:t>
      </w:r>
      <w:proofErr w:type="spellStart"/>
      <w:r>
        <w:t>Np</w:t>
      </w:r>
      <w:proofErr w:type="spellEnd"/>
      <w:r w:rsidR="001435B1">
        <w:t xml:space="preserve"> byl</w:t>
      </w:r>
      <w:r>
        <w:t xml:space="preserve"> stanoven jako funkční závislost na počtech jednotek výkonu</w:t>
      </w:r>
      <w:r w:rsidR="001435B1">
        <w:t xml:space="preserve"> podle vyhlášky</w:t>
      </w:r>
      <w:r w:rsidRPr="006C3521">
        <w:t xml:space="preserve"> </w:t>
      </w:r>
      <w:r>
        <w:t xml:space="preserve">na základě průměrných hodnot dosažených v průběhu minulého kalendářního roku. </w:t>
      </w:r>
      <w:r w:rsidRPr="006C3521">
        <w:t>Hodnot</w:t>
      </w:r>
      <w:r>
        <w:t>y</w:t>
      </w:r>
      <w:r w:rsidRPr="006C3521">
        <w:t xml:space="preserve"> </w:t>
      </w:r>
      <w:proofErr w:type="spellStart"/>
      <w:r w:rsidRPr="006C3521">
        <w:t>Np</w:t>
      </w:r>
      <w:proofErr w:type="spellEnd"/>
      <w:r w:rsidRPr="006C3521">
        <w:t xml:space="preserve"> </w:t>
      </w:r>
      <w:r>
        <w:t>byly</w:t>
      </w:r>
      <w:r w:rsidRPr="006C3521">
        <w:t xml:space="preserve"> vztažen</w:t>
      </w:r>
      <w:r>
        <w:t>y</w:t>
      </w:r>
      <w:r w:rsidRPr="006C3521">
        <w:t xml:space="preserve"> k počtu </w:t>
      </w:r>
      <w:r w:rsidR="001435B1">
        <w:t>skutečných účastníků, přičemž každý účastník mohl být započten pouze jednou bez ohledu na to, kolika zájmových činností se účastní</w:t>
      </w:r>
      <w:r w:rsidRPr="006C3521">
        <w:t>.</w:t>
      </w:r>
    </w:p>
    <w:p w14:paraId="44896800" w14:textId="77777777" w:rsidR="002D2329" w:rsidRPr="006C3521" w:rsidRDefault="002D2329" w:rsidP="00D4269E">
      <w:pPr>
        <w:jc w:val="both"/>
      </w:pPr>
    </w:p>
    <w:p w14:paraId="666793E6" w14:textId="77777777" w:rsidR="002D2329" w:rsidRDefault="002D2329" w:rsidP="001F0C31">
      <w:pPr>
        <w:pStyle w:val="Odstavecseseznamem"/>
        <w:keepNext/>
        <w:numPr>
          <w:ilvl w:val="0"/>
          <w:numId w:val="8"/>
        </w:numPr>
        <w:ind w:left="284" w:hanging="284"/>
        <w:rPr>
          <w:b/>
        </w:rPr>
      </w:pPr>
      <w:r>
        <w:rPr>
          <w:b/>
        </w:rPr>
        <w:lastRenderedPageBreak/>
        <w:t>školní kluby</w:t>
      </w:r>
    </w:p>
    <w:p w14:paraId="2EA1DED5" w14:textId="4B181753" w:rsidR="002D2329" w:rsidRPr="00E066C7" w:rsidRDefault="002D2329" w:rsidP="00D4269E">
      <w:pPr>
        <w:jc w:val="both"/>
      </w:pPr>
      <w:r>
        <w:t xml:space="preserve">Hodnoty </w:t>
      </w:r>
      <w:proofErr w:type="spellStart"/>
      <w:r>
        <w:t>Np</w:t>
      </w:r>
      <w:proofErr w:type="spellEnd"/>
      <w:r>
        <w:t xml:space="preserve"> byly stanoveny na základě průměrných hodnot dosažených v minulém kalendářním roce jako funkční závislost na počtech jednotek výkonu</w:t>
      </w:r>
      <w:r w:rsidR="001435B1">
        <w:t xml:space="preserve"> pro pravidelnou denní docházku a pravidelnou docházku podle vyhlášky.</w:t>
      </w:r>
    </w:p>
    <w:p w14:paraId="12EE6A06" w14:textId="77777777" w:rsidR="002D2329" w:rsidRPr="00E066C7" w:rsidRDefault="002D2329" w:rsidP="00D4269E">
      <w:pPr>
        <w:jc w:val="both"/>
      </w:pPr>
    </w:p>
    <w:p w14:paraId="5F661715" w14:textId="77777777" w:rsidR="002D2329" w:rsidRPr="006C3521" w:rsidRDefault="002D2329" w:rsidP="00D4269E">
      <w:pPr>
        <w:pStyle w:val="Odstavecseseznamem"/>
        <w:numPr>
          <w:ilvl w:val="0"/>
          <w:numId w:val="8"/>
        </w:numPr>
        <w:ind w:left="284" w:hanging="284"/>
        <w:rPr>
          <w:b/>
        </w:rPr>
      </w:pPr>
      <w:r>
        <w:rPr>
          <w:b/>
        </w:rPr>
        <w:t>domovy mládeže</w:t>
      </w:r>
    </w:p>
    <w:p w14:paraId="6A907597" w14:textId="1C8A7F3D" w:rsidR="002D2329" w:rsidRPr="006C3521" w:rsidRDefault="002D2329" w:rsidP="00D4269E">
      <w:pPr>
        <w:jc w:val="both"/>
      </w:pPr>
      <w:r>
        <w:t xml:space="preserve">Hodnoty </w:t>
      </w:r>
      <w:proofErr w:type="spellStart"/>
      <w:r>
        <w:t>Np</w:t>
      </w:r>
      <w:proofErr w:type="spellEnd"/>
      <w:r>
        <w:t xml:space="preserve"> vychází z průměrných hodnot v minulém kalendářním roce a jsou stanoveny jako soubor 4 na sebe spojitě navazujících funkčních závislostí.</w:t>
      </w:r>
    </w:p>
    <w:p w14:paraId="42FC1073" w14:textId="77777777" w:rsidR="002D2329" w:rsidRDefault="002D2329" w:rsidP="00D4269E">
      <w:pPr>
        <w:jc w:val="both"/>
      </w:pPr>
    </w:p>
    <w:p w14:paraId="5B0FE983" w14:textId="77777777" w:rsidR="002D2329" w:rsidRPr="006C3521" w:rsidRDefault="002D2329" w:rsidP="00D4269E">
      <w:pPr>
        <w:pStyle w:val="Odstavecseseznamem"/>
        <w:numPr>
          <w:ilvl w:val="0"/>
          <w:numId w:val="8"/>
        </w:numPr>
        <w:ind w:left="284" w:hanging="284"/>
        <w:rPr>
          <w:b/>
        </w:rPr>
      </w:pPr>
      <w:r>
        <w:rPr>
          <w:b/>
        </w:rPr>
        <w:t>internáty</w:t>
      </w:r>
    </w:p>
    <w:p w14:paraId="0C7E2959" w14:textId="0EF09C29" w:rsidR="002D2329" w:rsidRDefault="002D2329" w:rsidP="00D4269E">
      <w:pPr>
        <w:jc w:val="both"/>
      </w:pPr>
      <w:r>
        <w:t xml:space="preserve">Hodnota </w:t>
      </w:r>
      <w:proofErr w:type="spellStart"/>
      <w:r>
        <w:t>Np</w:t>
      </w:r>
      <w:proofErr w:type="spellEnd"/>
      <w:r w:rsidRPr="000F0C22">
        <w:t xml:space="preserve"> vychází z průměrných hodnot v minulém kalendářním roce a je stanovena jako konstanta.</w:t>
      </w:r>
    </w:p>
    <w:p w14:paraId="5F04FE3E" w14:textId="77777777" w:rsidR="002D2329" w:rsidRPr="006C3521" w:rsidRDefault="002D2329" w:rsidP="00D4269E">
      <w:pPr>
        <w:jc w:val="both"/>
      </w:pPr>
    </w:p>
    <w:p w14:paraId="5D9A723A" w14:textId="77777777" w:rsidR="002D2329" w:rsidRPr="006C3521" w:rsidRDefault="002D2329" w:rsidP="00D4269E">
      <w:pPr>
        <w:pStyle w:val="Odstavecseseznamem"/>
        <w:numPr>
          <w:ilvl w:val="0"/>
          <w:numId w:val="8"/>
        </w:numPr>
        <w:ind w:left="284" w:hanging="284"/>
        <w:rPr>
          <w:b/>
        </w:rPr>
      </w:pPr>
      <w:r>
        <w:rPr>
          <w:b/>
        </w:rPr>
        <w:t>pedagogicko-psychologické poradny</w:t>
      </w:r>
    </w:p>
    <w:p w14:paraId="091D15E2" w14:textId="51AE4120" w:rsidR="002D2329" w:rsidRDefault="002D2329" w:rsidP="00D4269E">
      <w:pPr>
        <w:jc w:val="both"/>
      </w:pPr>
      <w:r>
        <w:t xml:space="preserve">Komponenta </w:t>
      </w:r>
      <w:proofErr w:type="spellStart"/>
      <w:r>
        <w:t>Np</w:t>
      </w:r>
      <w:proofErr w:type="spellEnd"/>
      <w:r>
        <w:t xml:space="preserve"> byla stanovena jako konstanta a vychází z průměrných hodnot dosažených v průběhu minulého kalendářního roku. Jednotkou výkonu jsou klienti, </w:t>
      </w:r>
      <w:r w:rsidRPr="008E61DC">
        <w:t>jimž byla poskytnuta péče ve školním roce 20</w:t>
      </w:r>
      <w:r w:rsidR="005D23CA">
        <w:t>2</w:t>
      </w:r>
      <w:r w:rsidR="001F0C31">
        <w:t>3</w:t>
      </w:r>
      <w:r w:rsidRPr="008E61DC">
        <w:t>/</w:t>
      </w:r>
      <w:r>
        <w:t>2</w:t>
      </w:r>
      <w:r w:rsidR="001F0C31">
        <w:t>4</w:t>
      </w:r>
      <w:r>
        <w:t>.</w:t>
      </w:r>
    </w:p>
    <w:p w14:paraId="3BDD276A" w14:textId="77777777" w:rsidR="002D2329" w:rsidRDefault="002D2329" w:rsidP="00D4269E">
      <w:pPr>
        <w:jc w:val="both"/>
      </w:pPr>
    </w:p>
    <w:p w14:paraId="2E3DDCB5" w14:textId="77777777" w:rsidR="002D2329" w:rsidRPr="00707A9B" w:rsidRDefault="002D2329" w:rsidP="00D4269E">
      <w:pPr>
        <w:pStyle w:val="Odstavecseseznamem"/>
        <w:numPr>
          <w:ilvl w:val="0"/>
          <w:numId w:val="8"/>
        </w:numPr>
        <w:ind w:left="284" w:hanging="284"/>
        <w:rPr>
          <w:b/>
        </w:rPr>
      </w:pPr>
      <w:r>
        <w:rPr>
          <w:b/>
        </w:rPr>
        <w:t>speciálně pedagogická centra</w:t>
      </w:r>
    </w:p>
    <w:p w14:paraId="1648E55F" w14:textId="372B51D3" w:rsidR="002D2329" w:rsidRDefault="002D2329" w:rsidP="00D4269E">
      <w:pPr>
        <w:jc w:val="both"/>
      </w:pPr>
      <w:r>
        <w:t xml:space="preserve">Komponenta </w:t>
      </w:r>
      <w:proofErr w:type="spellStart"/>
      <w:r>
        <w:t>Np</w:t>
      </w:r>
      <w:proofErr w:type="spellEnd"/>
      <w:r>
        <w:t xml:space="preserve"> byla stanovena jako konstanta a vychází z průměrných hodnot dosažených v průběhu minulého kalendářního roku. Jednotkou výkonu jsou klienti, </w:t>
      </w:r>
      <w:r w:rsidRPr="008E61DC">
        <w:t xml:space="preserve">jimž byla poskytnuta péče ve školním roce </w:t>
      </w:r>
      <w:r w:rsidR="005D23CA" w:rsidRPr="008E61DC">
        <w:t>20</w:t>
      </w:r>
      <w:r w:rsidR="005D23CA">
        <w:t>2</w:t>
      </w:r>
      <w:r w:rsidR="001F0C31">
        <w:t>3</w:t>
      </w:r>
      <w:r w:rsidR="005D23CA" w:rsidRPr="008E61DC">
        <w:t>/</w:t>
      </w:r>
      <w:r w:rsidR="005D23CA">
        <w:t>2</w:t>
      </w:r>
      <w:r w:rsidR="001F0C31">
        <w:t>4</w:t>
      </w:r>
      <w:r>
        <w:t xml:space="preserve">. 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5942A48" w14:textId="77777777" w:rsidR="002D2329" w:rsidRDefault="002D2329" w:rsidP="00D4269E">
      <w:pPr>
        <w:jc w:val="both"/>
      </w:pPr>
    </w:p>
    <w:p w14:paraId="2026CB8C" w14:textId="77777777" w:rsidR="002D2329" w:rsidRPr="00707A9B" w:rsidRDefault="002D2329" w:rsidP="00D4269E">
      <w:pPr>
        <w:pStyle w:val="Odstavecseseznamem"/>
        <w:numPr>
          <w:ilvl w:val="0"/>
          <w:numId w:val="8"/>
        </w:numPr>
        <w:ind w:left="284" w:hanging="284"/>
        <w:rPr>
          <w:b/>
        </w:rPr>
      </w:pPr>
      <w:r>
        <w:rPr>
          <w:b/>
        </w:rPr>
        <w:t>dětské domovy</w:t>
      </w:r>
    </w:p>
    <w:p w14:paraId="0B5B86F7" w14:textId="4ADC57F4" w:rsidR="002D2329" w:rsidRDefault="002D2329" w:rsidP="00D4269E">
      <w:pPr>
        <w:jc w:val="both"/>
      </w:pPr>
      <w:r>
        <w:t>Jednotkou výkonu je rodinná skupina v dětském domově.</w:t>
      </w:r>
    </w:p>
    <w:p w14:paraId="515561AF" w14:textId="545B3292" w:rsidR="002D2329" w:rsidRPr="006C3521" w:rsidRDefault="002D2329" w:rsidP="00D4269E">
      <w:pPr>
        <w:jc w:val="both"/>
      </w:pPr>
      <w:r>
        <w:t xml:space="preserve">Hodnota </w:t>
      </w:r>
      <w:proofErr w:type="spellStart"/>
      <w:r>
        <w:t>Np</w:t>
      </w:r>
      <w:proofErr w:type="spellEnd"/>
      <w:r>
        <w:t xml:space="preserve"> byla stanovena jako konstanta vycházející z průměrných hodnot dosažených v průběhu minulého kalendářního roku a dále upravena tak, aby byla zabezpečena </w:t>
      </w:r>
      <w:r w:rsidRPr="006C3521">
        <w:t>pedagogická činnost v souladu se zákonem 109/2002 Sb. v platném znění</w:t>
      </w:r>
      <w:r>
        <w:t xml:space="preserve">. Dále byly stanoveny koeficienty podle § 4 odst. 3 vyhlášky zohledňující </w:t>
      </w:r>
      <w:r w:rsidRPr="009B6E8E">
        <w:t>počty rodinných skupin v dětském domově nebo v</w:t>
      </w:r>
      <w:r w:rsidR="009E0ED6">
        <w:t> </w:t>
      </w:r>
      <w:r w:rsidRPr="009B6E8E">
        <w:t>dětském domově se školou</w:t>
      </w:r>
      <w:r w:rsidR="009E0ED6">
        <w:t>.</w:t>
      </w:r>
    </w:p>
    <w:p w14:paraId="53915A01" w14:textId="77777777" w:rsidR="002D2329" w:rsidRPr="006C3521" w:rsidRDefault="002D2329" w:rsidP="00D4269E">
      <w:pPr>
        <w:jc w:val="both"/>
      </w:pPr>
    </w:p>
    <w:p w14:paraId="0A36B3A1" w14:textId="77777777" w:rsidR="002D2329" w:rsidRPr="006C3521" w:rsidRDefault="002D2329" w:rsidP="00D4269E">
      <w:pPr>
        <w:jc w:val="both"/>
      </w:pPr>
    </w:p>
    <w:p w14:paraId="6F95E41A" w14:textId="77777777" w:rsidR="002D2329" w:rsidRPr="00EA5018" w:rsidRDefault="002D2329" w:rsidP="00D4269E">
      <w:pPr>
        <w:pStyle w:val="Nadpis3"/>
      </w:pPr>
      <w:r w:rsidRPr="00EA5018">
        <w:t>Ukazatel průměrného počtu jednotek výkonu připadajících na 1 nepedagogického pracovníka</w:t>
      </w:r>
    </w:p>
    <w:p w14:paraId="645CB79F" w14:textId="3E76BD2C" w:rsidR="002D2329" w:rsidRDefault="002D2329" w:rsidP="00D4269E">
      <w:pPr>
        <w:jc w:val="both"/>
      </w:pPr>
      <w:r>
        <w:t>V souladu s § 2 vyhlášky se stanoví ukazatel průměrného počtu jednotek výkonu připadající</w:t>
      </w:r>
      <w:r w:rsidR="00DA2011">
        <w:t>ch</w:t>
      </w:r>
      <w:r>
        <w:t xml:space="preserve"> na 1 nepedagogického pracovníka:</w:t>
      </w:r>
    </w:p>
    <w:p w14:paraId="53FD4A78" w14:textId="38EFB8E0" w:rsidR="002D2329" w:rsidRDefault="002D2329" w:rsidP="00D4269E">
      <w:pPr>
        <w:pStyle w:val="Odstavecseseznamem"/>
        <w:numPr>
          <w:ilvl w:val="0"/>
          <w:numId w:val="6"/>
        </w:numPr>
      </w:pPr>
      <w:r>
        <w:t>z průměrných hodnot dosažených v průběhu uplynulého kalendářního roku nebo, nejsou-li tyto hodnoty vypovídající, z hodnot stanovených krajským úřadem v</w:t>
      </w:r>
      <w:r w:rsidR="00EA5018">
        <w:t> </w:t>
      </w:r>
      <w:r>
        <w:t>uplynulém kalendářním roce v kurzu pro získání základního vzdělání nebo</w:t>
      </w:r>
      <w:r w:rsidR="00EA5018">
        <w:t xml:space="preserve"> </w:t>
      </w:r>
      <w:r>
        <w:t>v</w:t>
      </w:r>
      <w:r w:rsidR="00EA5018">
        <w:t> </w:t>
      </w:r>
      <w:r>
        <w:t>příslušném typu školského zařízení v rámci kraje,</w:t>
      </w:r>
    </w:p>
    <w:p w14:paraId="371EB32A" w14:textId="5BEE7F5D" w:rsidR="002D2329" w:rsidRDefault="002D2329" w:rsidP="00D4269E">
      <w:pPr>
        <w:pStyle w:val="Odstavecseseznamem"/>
        <w:numPr>
          <w:ilvl w:val="0"/>
          <w:numId w:val="7"/>
        </w:numPr>
      </w:pPr>
      <w:r>
        <w:t>p</w:t>
      </w:r>
      <w:r w:rsidRPr="006532A7">
        <w:t>okud se jedná o stravovaného, stanoví se ukazatel podle věty první jako funkční závislost nebo soubor nejvýše 6 na sebe spojitě navazujících funkčních závislostí na</w:t>
      </w:r>
      <w:r w:rsidR="00EA5018">
        <w:t> </w:t>
      </w:r>
      <w:r w:rsidRPr="006532A7">
        <w:t>počtu jednotek výkonu ve školském zařízení č</w:t>
      </w:r>
      <w:r>
        <w:t>leněný podle počtů stravovaných.</w:t>
      </w:r>
    </w:p>
    <w:p w14:paraId="2FCC165E" w14:textId="77777777" w:rsidR="002D2329" w:rsidRDefault="002D2329" w:rsidP="00D4269E">
      <w:pPr>
        <w:jc w:val="both"/>
      </w:pPr>
    </w:p>
    <w:p w14:paraId="4382F242" w14:textId="77777777" w:rsidR="002D2329" w:rsidRDefault="002D2329" w:rsidP="00D4269E">
      <w:pPr>
        <w:jc w:val="both"/>
      </w:pPr>
      <w:r w:rsidRPr="006C3521">
        <w:t xml:space="preserve">Ukazatel průměrného počtu jednotek výkonu připadajících na 1 </w:t>
      </w:r>
      <w:r>
        <w:t>nepedagogického pracovníka (No</w:t>
      </w:r>
      <w:r w:rsidRPr="006C3521">
        <w:t xml:space="preserve">) byl stanoven </w:t>
      </w:r>
      <w:r>
        <w:t>ve školských zařízeních následovně</w:t>
      </w:r>
      <w:r w:rsidRPr="006C3521">
        <w:t>:</w:t>
      </w:r>
    </w:p>
    <w:p w14:paraId="1194AD37" w14:textId="77777777" w:rsidR="002D2329" w:rsidRDefault="002D2329" w:rsidP="00D4269E">
      <w:pPr>
        <w:jc w:val="both"/>
      </w:pPr>
    </w:p>
    <w:p w14:paraId="0FC5C54A" w14:textId="77777777" w:rsidR="002D2329" w:rsidRPr="00F95605" w:rsidRDefault="002D2329" w:rsidP="00D4269E">
      <w:pPr>
        <w:pStyle w:val="Odstavecseseznamem"/>
        <w:numPr>
          <w:ilvl w:val="0"/>
          <w:numId w:val="9"/>
        </w:numPr>
        <w:ind w:left="284" w:hanging="284"/>
        <w:rPr>
          <w:b/>
        </w:rPr>
      </w:pPr>
      <w:r w:rsidRPr="00F95605">
        <w:rPr>
          <w:b/>
        </w:rPr>
        <w:lastRenderedPageBreak/>
        <w:t>kurz pro získání základního vzdělání</w:t>
      </w:r>
    </w:p>
    <w:p w14:paraId="312E651A" w14:textId="77777777" w:rsidR="002D2329" w:rsidRPr="00E33903" w:rsidRDefault="002D2329" w:rsidP="00D4269E">
      <w:pPr>
        <w:jc w:val="both"/>
      </w:pPr>
      <w:r>
        <w:t>Komponenta No nebyla stanovena.</w:t>
      </w:r>
    </w:p>
    <w:p w14:paraId="5BE95948" w14:textId="77777777" w:rsidR="002D2329" w:rsidRPr="006C3521" w:rsidRDefault="002D2329" w:rsidP="00D4269E">
      <w:pPr>
        <w:jc w:val="both"/>
      </w:pPr>
    </w:p>
    <w:p w14:paraId="2212F9E6" w14:textId="77777777" w:rsidR="002D2329" w:rsidRPr="006C3521" w:rsidRDefault="002D2329" w:rsidP="00D4269E">
      <w:pPr>
        <w:pStyle w:val="Odstavecseseznamem"/>
        <w:numPr>
          <w:ilvl w:val="0"/>
          <w:numId w:val="9"/>
        </w:numPr>
        <w:ind w:left="284" w:hanging="284"/>
        <w:rPr>
          <w:b/>
        </w:rPr>
      </w:pPr>
      <w:r>
        <w:rPr>
          <w:b/>
        </w:rPr>
        <w:t>střediska volného času</w:t>
      </w:r>
    </w:p>
    <w:p w14:paraId="4D099EC2" w14:textId="6388EC84" w:rsidR="002D2329" w:rsidRDefault="002D2329" w:rsidP="00D4269E">
      <w:pPr>
        <w:jc w:val="both"/>
      </w:pPr>
      <w:r>
        <w:t>Hodnota No byla stanovena</w:t>
      </w:r>
      <w:r w:rsidRPr="006C3521">
        <w:t xml:space="preserve"> </w:t>
      </w:r>
      <w:r>
        <w:t>jako konstanta na základě průměrných hodnot dosažených v průběhu minulého kalendářního roku</w:t>
      </w:r>
      <w:r w:rsidR="005D23CA">
        <w:t>.</w:t>
      </w:r>
      <w:r>
        <w:t xml:space="preserve"> </w:t>
      </w:r>
      <w:r w:rsidRPr="006C3521">
        <w:t>Hodnot</w:t>
      </w:r>
      <w:r w:rsidR="005D23CA">
        <w:t>a</w:t>
      </w:r>
      <w:r>
        <w:t xml:space="preserve"> No</w:t>
      </w:r>
      <w:r w:rsidRPr="006C3521">
        <w:t xml:space="preserve"> </w:t>
      </w:r>
      <w:r w:rsidR="005D23CA">
        <w:t>byla</w:t>
      </w:r>
      <w:r w:rsidRPr="006C3521">
        <w:t xml:space="preserve"> vztažen</w:t>
      </w:r>
      <w:r w:rsidR="005D23CA">
        <w:t>a</w:t>
      </w:r>
      <w:r w:rsidRPr="006C3521">
        <w:t xml:space="preserve"> k</w:t>
      </w:r>
      <w:r w:rsidR="00EA5018">
        <w:t> </w:t>
      </w:r>
      <w:r w:rsidRPr="006C3521">
        <w:t>počtu</w:t>
      </w:r>
      <w:r w:rsidR="00EA5018">
        <w:t xml:space="preserve"> skutečných účastníků, přičemž každý účastník mohl být započten pouze jednou bez ohledu na to, kolika zájmových činností se účastní</w:t>
      </w:r>
      <w:r w:rsidR="00EA5018" w:rsidRPr="006C3521">
        <w:t>.</w:t>
      </w:r>
    </w:p>
    <w:p w14:paraId="051C46C8" w14:textId="77777777" w:rsidR="002D2329" w:rsidRPr="006C3521" w:rsidRDefault="002D2329" w:rsidP="00D4269E">
      <w:pPr>
        <w:jc w:val="both"/>
      </w:pPr>
    </w:p>
    <w:p w14:paraId="28D41304" w14:textId="77777777" w:rsidR="002D2329" w:rsidRDefault="002D2329" w:rsidP="00D4269E">
      <w:pPr>
        <w:pStyle w:val="Odstavecseseznamem"/>
        <w:numPr>
          <w:ilvl w:val="0"/>
          <w:numId w:val="9"/>
        </w:numPr>
        <w:ind w:left="284" w:hanging="284"/>
        <w:rPr>
          <w:b/>
        </w:rPr>
      </w:pPr>
      <w:r>
        <w:rPr>
          <w:b/>
        </w:rPr>
        <w:t>školní kluby</w:t>
      </w:r>
    </w:p>
    <w:p w14:paraId="6AEA484F" w14:textId="53450744" w:rsidR="002D2329" w:rsidRDefault="002D2329" w:rsidP="00D4269E">
      <w:pPr>
        <w:jc w:val="both"/>
      </w:pPr>
      <w:r>
        <w:t>Hodnota No byla stanovena</w:t>
      </w:r>
      <w:r w:rsidRPr="006C3521">
        <w:t xml:space="preserve"> </w:t>
      </w:r>
      <w:r>
        <w:t xml:space="preserve">jako konstanta a je shodná s hodnotou stanovenou pro školní družiny. Financování probíhá na základě jednotek výkonu vykázaných pro pravidelnou činnost </w:t>
      </w:r>
      <w:r w:rsidR="00EA5018">
        <w:t xml:space="preserve">nebo pro pravidelnou denní činnost </w:t>
      </w:r>
      <w:r>
        <w:t>školního klubu.</w:t>
      </w:r>
    </w:p>
    <w:p w14:paraId="38E4DFF5" w14:textId="77777777" w:rsidR="002D2329" w:rsidRDefault="002D2329" w:rsidP="00D4269E">
      <w:pPr>
        <w:jc w:val="both"/>
      </w:pPr>
    </w:p>
    <w:p w14:paraId="3F708B27" w14:textId="77777777" w:rsidR="002D2329" w:rsidRPr="00941FCD" w:rsidRDefault="002D2329" w:rsidP="00D4269E">
      <w:pPr>
        <w:pStyle w:val="Odstavecseseznamem"/>
        <w:numPr>
          <w:ilvl w:val="0"/>
          <w:numId w:val="9"/>
        </w:numPr>
        <w:ind w:left="284" w:hanging="284"/>
        <w:rPr>
          <w:b/>
        </w:rPr>
      </w:pPr>
      <w:r>
        <w:rPr>
          <w:b/>
        </w:rPr>
        <w:t>školní družiny</w:t>
      </w:r>
    </w:p>
    <w:p w14:paraId="5B972624" w14:textId="77777777" w:rsidR="002D2329" w:rsidRDefault="002D2329" w:rsidP="00D4269E">
      <w:pPr>
        <w:jc w:val="both"/>
      </w:pPr>
      <w:r>
        <w:t>Hodnota No byla stanovena jako konstanta.</w:t>
      </w:r>
    </w:p>
    <w:p w14:paraId="509F1E26" w14:textId="77777777" w:rsidR="002D2329" w:rsidRDefault="002D2329" w:rsidP="00D4269E">
      <w:pPr>
        <w:jc w:val="both"/>
      </w:pPr>
    </w:p>
    <w:p w14:paraId="0354874D" w14:textId="77777777" w:rsidR="002D2329" w:rsidRPr="00941FCD" w:rsidRDefault="002D2329" w:rsidP="00D4269E">
      <w:pPr>
        <w:pStyle w:val="Odstavecseseznamem"/>
        <w:numPr>
          <w:ilvl w:val="0"/>
          <w:numId w:val="9"/>
        </w:numPr>
        <w:ind w:left="284" w:hanging="284"/>
        <w:rPr>
          <w:b/>
        </w:rPr>
      </w:pPr>
      <w:r>
        <w:rPr>
          <w:b/>
        </w:rPr>
        <w:t>školní jídelny</w:t>
      </w:r>
    </w:p>
    <w:p w14:paraId="5CD7533D" w14:textId="77777777" w:rsidR="002D2329" w:rsidRDefault="002D2329" w:rsidP="00D4269E">
      <w:pPr>
        <w:jc w:val="both"/>
      </w:pPr>
      <w:r>
        <w:t>Hodnoty No vychází z průměrných hodnot stanovených krajským úřadem v minulém kalendářním roce a jsou stanoveny jako funkční závislost nebo soubor na sebe spojitě navazujících funkčních závislostí pro jednotlivé typy zařízení školního stravování.</w:t>
      </w:r>
    </w:p>
    <w:p w14:paraId="4BA122D4" w14:textId="77777777" w:rsidR="002D2329" w:rsidRPr="00E066C7" w:rsidRDefault="002D2329" w:rsidP="00D4269E">
      <w:pPr>
        <w:jc w:val="both"/>
      </w:pPr>
    </w:p>
    <w:p w14:paraId="7FC1FD6C" w14:textId="77777777" w:rsidR="002D2329" w:rsidRPr="006C3521" w:rsidRDefault="002D2329" w:rsidP="00D4269E">
      <w:pPr>
        <w:pStyle w:val="Odstavecseseznamem"/>
        <w:numPr>
          <w:ilvl w:val="0"/>
          <w:numId w:val="9"/>
        </w:numPr>
        <w:ind w:left="284" w:hanging="284"/>
        <w:rPr>
          <w:b/>
        </w:rPr>
      </w:pPr>
      <w:r>
        <w:rPr>
          <w:b/>
        </w:rPr>
        <w:t>domovy mládeže</w:t>
      </w:r>
    </w:p>
    <w:p w14:paraId="50241357" w14:textId="000672DF" w:rsidR="002D2329" w:rsidRDefault="002D2329" w:rsidP="00D4269E">
      <w:pPr>
        <w:jc w:val="both"/>
      </w:pPr>
      <w:r w:rsidRPr="009B6E8E">
        <w:t>Hodnota No vychází z hodnot stanovených krajským úřadem v minulém kalendářním roce a</w:t>
      </w:r>
      <w:r w:rsidR="00EA5018">
        <w:t> </w:t>
      </w:r>
      <w:r w:rsidRPr="009B6E8E">
        <w:t>je stanovena jako konstanta.</w:t>
      </w:r>
    </w:p>
    <w:p w14:paraId="1306DB3B" w14:textId="77777777" w:rsidR="002D2329" w:rsidRDefault="002D2329" w:rsidP="00D4269E">
      <w:pPr>
        <w:jc w:val="both"/>
      </w:pPr>
    </w:p>
    <w:p w14:paraId="09152C1F" w14:textId="77777777" w:rsidR="002D2329" w:rsidRPr="006C3521" w:rsidRDefault="002D2329" w:rsidP="00D4269E">
      <w:pPr>
        <w:pStyle w:val="Odstavecseseznamem"/>
        <w:numPr>
          <w:ilvl w:val="0"/>
          <w:numId w:val="9"/>
        </w:numPr>
        <w:ind w:left="284" w:hanging="284"/>
        <w:rPr>
          <w:b/>
        </w:rPr>
      </w:pPr>
      <w:r>
        <w:rPr>
          <w:b/>
        </w:rPr>
        <w:t>internáty</w:t>
      </w:r>
    </w:p>
    <w:p w14:paraId="0C4A51E5" w14:textId="14E725C6" w:rsidR="002D2329" w:rsidRDefault="002D2329" w:rsidP="00D4269E">
      <w:pPr>
        <w:jc w:val="both"/>
      </w:pPr>
      <w:r w:rsidRPr="008E61DC">
        <w:t>Hodnota No vychází z hodnot stanovených krajským úřadem v minulém kalendářním roce a</w:t>
      </w:r>
      <w:r w:rsidR="00EA5018">
        <w:t> </w:t>
      </w:r>
      <w:r w:rsidRPr="008E61DC">
        <w:t>j</w:t>
      </w:r>
      <w:r>
        <w:t>e stanovena jako konstanta.</w:t>
      </w:r>
    </w:p>
    <w:p w14:paraId="1A346D40" w14:textId="77777777" w:rsidR="002D2329" w:rsidRPr="006C3521" w:rsidRDefault="002D2329" w:rsidP="00D4269E">
      <w:pPr>
        <w:jc w:val="both"/>
      </w:pPr>
    </w:p>
    <w:p w14:paraId="684FE66C" w14:textId="77777777" w:rsidR="002D2329" w:rsidRPr="006C3521" w:rsidRDefault="002D2329" w:rsidP="00D4269E">
      <w:pPr>
        <w:pStyle w:val="Odstavecseseznamem"/>
        <w:numPr>
          <w:ilvl w:val="0"/>
          <w:numId w:val="9"/>
        </w:numPr>
        <w:ind w:left="284" w:hanging="284"/>
        <w:rPr>
          <w:b/>
        </w:rPr>
      </w:pPr>
      <w:r>
        <w:rPr>
          <w:b/>
        </w:rPr>
        <w:t>pedagogicko-psychologické poradny</w:t>
      </w:r>
    </w:p>
    <w:p w14:paraId="5C47A396" w14:textId="366B23FE"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4903E1">
        <w:t>2</w:t>
      </w:r>
      <w:r w:rsidR="001F0C31">
        <w:t>3</w:t>
      </w:r>
      <w:r w:rsidR="005D23CA" w:rsidRPr="008E61DC">
        <w:t>/</w:t>
      </w:r>
      <w:r w:rsidR="005D23CA">
        <w:t>2</w:t>
      </w:r>
      <w:r w:rsidR="001F0C31">
        <w:t>4</w:t>
      </w:r>
      <w:r w:rsidRPr="009B6E8E">
        <w:t>.</w:t>
      </w:r>
    </w:p>
    <w:p w14:paraId="435B8FFA" w14:textId="77777777" w:rsidR="002D2329" w:rsidRDefault="002D2329" w:rsidP="00D4269E">
      <w:pPr>
        <w:jc w:val="both"/>
      </w:pPr>
    </w:p>
    <w:p w14:paraId="2AAF4589" w14:textId="77777777" w:rsidR="002D2329" w:rsidRPr="00707A9B" w:rsidRDefault="002D2329" w:rsidP="00D4269E">
      <w:pPr>
        <w:pStyle w:val="Odstavecseseznamem"/>
        <w:numPr>
          <w:ilvl w:val="0"/>
          <w:numId w:val="9"/>
        </w:numPr>
        <w:ind w:left="284" w:hanging="284"/>
        <w:rPr>
          <w:b/>
        </w:rPr>
      </w:pPr>
      <w:r>
        <w:rPr>
          <w:b/>
        </w:rPr>
        <w:t>speciálně pedagogická centra</w:t>
      </w:r>
    </w:p>
    <w:p w14:paraId="210B58D6" w14:textId="4C5C6002"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EA5018">
        <w:t>2</w:t>
      </w:r>
      <w:r w:rsidR="001F0C31">
        <w:t>3</w:t>
      </w:r>
      <w:r w:rsidR="005D23CA" w:rsidRPr="008E61DC">
        <w:t>/</w:t>
      </w:r>
      <w:r w:rsidR="005D23CA">
        <w:t>2</w:t>
      </w:r>
      <w:r w:rsidR="001F0C31">
        <w:t>4</w:t>
      </w:r>
      <w:r w:rsidRPr="009B6E8E">
        <w:t>.</w:t>
      </w:r>
      <w:r>
        <w:t xml:space="preserve"> </w:t>
      </w:r>
    </w:p>
    <w:p w14:paraId="4B5BC8D5" w14:textId="77777777" w:rsidR="002D2329" w:rsidRDefault="002D2329" w:rsidP="00D4269E">
      <w:pPr>
        <w:jc w:val="both"/>
      </w:pPr>
      <w:r>
        <w:t xml:space="preserve">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1B346AF9" w14:textId="77777777" w:rsidR="002D2329" w:rsidRDefault="002D2329" w:rsidP="00D4269E">
      <w:pPr>
        <w:jc w:val="both"/>
      </w:pPr>
    </w:p>
    <w:p w14:paraId="44F892E5" w14:textId="77777777" w:rsidR="002D2329" w:rsidRPr="00707A9B" w:rsidRDefault="002D2329" w:rsidP="00D4269E">
      <w:pPr>
        <w:pStyle w:val="Odstavecseseznamem"/>
        <w:numPr>
          <w:ilvl w:val="0"/>
          <w:numId w:val="9"/>
        </w:numPr>
        <w:ind w:left="284" w:hanging="284"/>
        <w:rPr>
          <w:b/>
        </w:rPr>
      </w:pPr>
      <w:r>
        <w:rPr>
          <w:b/>
        </w:rPr>
        <w:t>dětské domovy</w:t>
      </w:r>
    </w:p>
    <w:p w14:paraId="0F283D20" w14:textId="552F4343" w:rsidR="002D2329" w:rsidRDefault="002D2329" w:rsidP="00D4269E">
      <w:pPr>
        <w:jc w:val="both"/>
      </w:pPr>
      <w:r>
        <w:t>Jednotkou výkonu je rodinná skupina v dětském domově.</w:t>
      </w:r>
    </w:p>
    <w:p w14:paraId="15BDB79D" w14:textId="12ED3D46" w:rsidR="002D2329" w:rsidRPr="006C3521" w:rsidRDefault="002D2329" w:rsidP="00D4269E">
      <w:pPr>
        <w:jc w:val="both"/>
      </w:pPr>
      <w:r>
        <w:t>Hodnota No byla stanovena jako konstanta vycházející z průměrných hodnot dosažených v průběhu minulého kalendářního roku. Dále byly stanoveny koeficienty podle § 4 odst. </w:t>
      </w:r>
      <w:proofErr w:type="gramStart"/>
      <w:r>
        <w:t xml:space="preserve">3 </w:t>
      </w:r>
      <w:r w:rsidR="00C25CA0">
        <w:t> </w:t>
      </w:r>
      <w:r>
        <w:t>vyhlášky</w:t>
      </w:r>
      <w:proofErr w:type="gramEnd"/>
      <w:r>
        <w:t xml:space="preserve"> zohledňující </w:t>
      </w:r>
      <w:r w:rsidRPr="009B6E8E">
        <w:t>počty rodinných skupin v dětském domově nebo v dětském domově se</w:t>
      </w:r>
      <w:r w:rsidR="00EA5018">
        <w:t> </w:t>
      </w:r>
      <w:r w:rsidRPr="009B6E8E">
        <w:t>školou</w:t>
      </w:r>
      <w:r>
        <w:t>.</w:t>
      </w:r>
    </w:p>
    <w:p w14:paraId="052E5AA9" w14:textId="77777777" w:rsidR="002D2329" w:rsidRPr="006C3521" w:rsidRDefault="002D2329" w:rsidP="00D4269E">
      <w:pPr>
        <w:jc w:val="both"/>
      </w:pPr>
    </w:p>
    <w:p w14:paraId="5E58AE14" w14:textId="77777777" w:rsidR="002D2329" w:rsidRDefault="002D2329" w:rsidP="00D4269E">
      <w:pPr>
        <w:pStyle w:val="Nadpis3"/>
      </w:pPr>
      <w:r w:rsidRPr="00496C4C">
        <w:t>Ukazatel průměrného měsíčního platu pedagogického a nepedagogického pracovníka</w:t>
      </w:r>
    </w:p>
    <w:p w14:paraId="120BD0A0" w14:textId="6B7DC892" w:rsidR="002D2329" w:rsidRDefault="00EE2D32" w:rsidP="00F618A6">
      <w:pPr>
        <w:jc w:val="both"/>
      </w:pPr>
      <w:r w:rsidRPr="00496C4C">
        <w:t>Hodnoty ukazatelů Pp (průměrný měsíční plat pedagogického pracovníka) a Po (průměrný měsíční plat nepedagogického pracovníka) vycházejí z hodnot vykázaných školami v roce 202</w:t>
      </w:r>
      <w:r w:rsidR="00221734" w:rsidRPr="00496C4C">
        <w:t>4</w:t>
      </w:r>
      <w:r w:rsidRPr="00496C4C">
        <w:t xml:space="preserve"> ve čtvrtletních výkazech o zaměstnancích a mzdových prostředcích v regionálním školství</w:t>
      </w:r>
      <w:r w:rsidR="00374B52" w:rsidRPr="00496C4C">
        <w:t xml:space="preserve"> a z principů rozpisu rozpočtu </w:t>
      </w:r>
      <w:r w:rsidR="00284F35" w:rsidRPr="00496C4C">
        <w:t>př</w:t>
      </w:r>
      <w:r w:rsidR="00496C4C" w:rsidRPr="00496C4C">
        <w:t>í</w:t>
      </w:r>
      <w:r w:rsidR="00284F35" w:rsidRPr="00496C4C">
        <w:t xml:space="preserve">mých výdajů </w:t>
      </w:r>
      <w:proofErr w:type="spellStart"/>
      <w:r w:rsidR="00284F35" w:rsidRPr="00496C4C">
        <w:t>RgŠ</w:t>
      </w:r>
      <w:proofErr w:type="spellEnd"/>
      <w:r w:rsidR="00284F35" w:rsidRPr="00496C4C">
        <w:t xml:space="preserve"> územních samosprávných celků na rok 202</w:t>
      </w:r>
      <w:r w:rsidR="00496C4C" w:rsidRPr="00496C4C">
        <w:t>5 (č.j. MSMT-635/2025-2)</w:t>
      </w:r>
      <w:r w:rsidRPr="00496C4C">
        <w:t xml:space="preserve">. </w:t>
      </w:r>
    </w:p>
    <w:p w14:paraId="61EF6A6B" w14:textId="77777777" w:rsidR="00B559F4" w:rsidRDefault="00B559F4" w:rsidP="00F618A6">
      <w:pPr>
        <w:jc w:val="both"/>
      </w:pPr>
    </w:p>
    <w:p w14:paraId="0D8B5E11" w14:textId="751E1C77" w:rsidR="008733AE" w:rsidRDefault="008733AE" w:rsidP="008733AE">
      <w:pPr>
        <w:pStyle w:val="Zkladntext31"/>
        <w:rPr>
          <w:bCs/>
          <w:color w:val="000000"/>
        </w:rPr>
      </w:pPr>
      <w:r w:rsidRPr="00B64A55">
        <w:rPr>
          <w:bCs/>
          <w:color w:val="000000"/>
        </w:rPr>
        <w:t xml:space="preserve">Rozpis přímých výdajů MŠMT </w:t>
      </w:r>
      <w:r>
        <w:rPr>
          <w:bCs/>
          <w:color w:val="000000"/>
        </w:rPr>
        <w:t xml:space="preserve">podrobně </w:t>
      </w:r>
      <w:r w:rsidR="00151351">
        <w:rPr>
          <w:bCs/>
          <w:color w:val="000000"/>
        </w:rPr>
        <w:t>popsaný</w:t>
      </w:r>
      <w:r w:rsidRPr="00B64A55">
        <w:rPr>
          <w:bCs/>
          <w:color w:val="000000"/>
        </w:rPr>
        <w:t xml:space="preserve"> v materiálu č.j. MSMT-635/2025-2</w:t>
      </w:r>
      <w:r>
        <w:rPr>
          <w:bCs/>
          <w:color w:val="000000"/>
        </w:rPr>
        <w:t xml:space="preserve"> </w:t>
      </w:r>
      <w:r w:rsidRPr="00B64A55">
        <w:rPr>
          <w:bCs/>
          <w:color w:val="000000"/>
        </w:rPr>
        <w:t>pro školská zařízení provedený prostřednictvím republikových normativů v oblasti nepedagogické práce a ostatních neinvestičních výdajů zohledňuje navrhovaný převod odpovědnosti za financování nepedagogické práce a ostatních neinvestičních výdajů ve školách a školských zařízeních zřizovaných krajem, obcí nebo dobrovolným svazkem obcí na jejich zřizovatele, tj. na kraje a obce, od 1. září 2025.</w:t>
      </w:r>
    </w:p>
    <w:p w14:paraId="36A4752A" w14:textId="77777777" w:rsidR="008733AE" w:rsidRDefault="008733AE" w:rsidP="008733AE">
      <w:pPr>
        <w:pStyle w:val="Zkladntext31"/>
        <w:rPr>
          <w:bCs/>
          <w:color w:val="000000"/>
        </w:rPr>
      </w:pPr>
    </w:p>
    <w:p w14:paraId="5E2F8E91" w14:textId="77777777" w:rsidR="008733AE" w:rsidRDefault="008733AE" w:rsidP="008733AE">
      <w:pPr>
        <w:pStyle w:val="Zkladntext31"/>
        <w:rPr>
          <w:bCs/>
          <w:color w:val="000000"/>
        </w:rPr>
      </w:pPr>
      <w:r w:rsidRPr="00B64A55">
        <w:rPr>
          <w:bCs/>
          <w:color w:val="000000"/>
        </w:rPr>
        <w:t>KÚLK stanovuje pro rok 2025 hodnoty krajských normativů v souladu s vyhláškou (tj. v objem</w:t>
      </w:r>
      <w:r>
        <w:rPr>
          <w:bCs/>
          <w:color w:val="000000"/>
        </w:rPr>
        <w:t>u</w:t>
      </w:r>
      <w:r w:rsidRPr="00B64A55">
        <w:rPr>
          <w:bCs/>
          <w:color w:val="000000"/>
        </w:rPr>
        <w:t xml:space="preserve"> na 12 měsíců), přestože objem prostředků na platy, zákonné odvody a FKSP pro </w:t>
      </w:r>
      <w:r>
        <w:rPr>
          <w:bCs/>
          <w:color w:val="000000"/>
        </w:rPr>
        <w:t>nepedagogické pracovníky</w:t>
      </w:r>
      <w:r w:rsidRPr="00B64A55">
        <w:rPr>
          <w:bCs/>
          <w:color w:val="000000"/>
        </w:rPr>
        <w:t xml:space="preserve"> je rozpočtem přiděleným z MŠMT pokryt jen na 8 měsíců. Ustanovení platné vyhlášky č. 310/2018 Sb. s rozpisem rozpočtu, který provedlo MŠMT pro rok 2025</w:t>
      </w:r>
      <w:r>
        <w:rPr>
          <w:bCs/>
          <w:color w:val="000000"/>
        </w:rPr>
        <w:t>,</w:t>
      </w:r>
      <w:r w:rsidRPr="00B64A55">
        <w:rPr>
          <w:bCs/>
          <w:color w:val="000000"/>
        </w:rPr>
        <w:t xml:space="preserve"> nekorespondují. </w:t>
      </w:r>
    </w:p>
    <w:p w14:paraId="617D475C" w14:textId="77777777" w:rsidR="008733AE" w:rsidRPr="00B64A55" w:rsidRDefault="008733AE" w:rsidP="008733AE">
      <w:pPr>
        <w:pStyle w:val="Zkladntext31"/>
        <w:rPr>
          <w:bCs/>
          <w:color w:val="000000"/>
        </w:rPr>
      </w:pPr>
    </w:p>
    <w:p w14:paraId="1E2789D6" w14:textId="77777777" w:rsidR="008733AE" w:rsidRDefault="008733AE" w:rsidP="008733AE">
      <w:pPr>
        <w:pStyle w:val="Zkladntext31"/>
        <w:rPr>
          <w:bCs/>
          <w:color w:val="000000"/>
        </w:rPr>
      </w:pPr>
      <w:r w:rsidRPr="00B64A55">
        <w:rPr>
          <w:bCs/>
          <w:color w:val="000000"/>
        </w:rPr>
        <w:t>Ukazatel</w:t>
      </w:r>
      <w:r>
        <w:rPr>
          <w:bCs/>
          <w:color w:val="000000"/>
        </w:rPr>
        <w:t>e</w:t>
      </w:r>
      <w:r w:rsidRPr="00B64A55">
        <w:rPr>
          <w:bCs/>
          <w:color w:val="000000"/>
        </w:rPr>
        <w:t xml:space="preserve"> rozepisované normativně jednotlivým školským zařízením </w:t>
      </w:r>
      <w:r>
        <w:rPr>
          <w:bCs/>
          <w:color w:val="000000"/>
        </w:rPr>
        <w:t xml:space="preserve">jsou </w:t>
      </w:r>
      <w:r w:rsidRPr="00B64A55">
        <w:rPr>
          <w:bCs/>
          <w:color w:val="000000"/>
        </w:rPr>
        <w:t>z výše uvedeného důvodu stanoveny ve výši finančně kryté</w:t>
      </w:r>
      <w:r>
        <w:rPr>
          <w:bCs/>
          <w:color w:val="000000"/>
        </w:rPr>
        <w:t xml:space="preserve"> rozpisem rozpočtu MŠMT</w:t>
      </w:r>
      <w:r w:rsidRPr="00B64A55">
        <w:rPr>
          <w:bCs/>
          <w:color w:val="000000"/>
        </w:rPr>
        <w:t>, tj. rozpis pro pedagogy na období</w:t>
      </w:r>
      <w:r>
        <w:rPr>
          <w:bCs/>
          <w:color w:val="000000"/>
        </w:rPr>
        <w:t xml:space="preserve"> od ledna do prosince roku 2025 a pro nepedagogické pracovníky </w:t>
      </w:r>
      <w:r w:rsidRPr="00B64A55">
        <w:rPr>
          <w:bCs/>
          <w:color w:val="000000"/>
        </w:rPr>
        <w:t xml:space="preserve">a ONIV pouze na období </w:t>
      </w:r>
      <w:r>
        <w:rPr>
          <w:bCs/>
          <w:color w:val="000000"/>
        </w:rPr>
        <w:t xml:space="preserve">od ledna do srpna roku </w:t>
      </w:r>
      <w:r w:rsidRPr="00B64A55">
        <w:rPr>
          <w:bCs/>
          <w:color w:val="000000"/>
        </w:rPr>
        <w:t xml:space="preserve">2025. </w:t>
      </w:r>
    </w:p>
    <w:p w14:paraId="6DDFA26B" w14:textId="77777777" w:rsidR="008733AE" w:rsidRDefault="008733AE" w:rsidP="008733AE">
      <w:pPr>
        <w:pStyle w:val="Zkladntext31"/>
        <w:rPr>
          <w:bCs/>
          <w:color w:val="000000"/>
        </w:rPr>
      </w:pPr>
    </w:p>
    <w:p w14:paraId="3766CE3F" w14:textId="77777777" w:rsidR="008733AE" w:rsidRDefault="008733AE" w:rsidP="008733AE">
      <w:pPr>
        <w:pStyle w:val="Zkladntext31"/>
        <w:rPr>
          <w:bCs/>
          <w:color w:val="000000"/>
        </w:rPr>
      </w:pPr>
      <w:r>
        <w:rPr>
          <w:bCs/>
          <w:color w:val="000000"/>
        </w:rPr>
        <w:t xml:space="preserve">V rozhodnutích zasílaných právnickým osobám a ani v tabulkách zveřejňovaných na </w:t>
      </w:r>
      <w:r w:rsidRPr="00AC5BFF">
        <w:rPr>
          <w:bCs/>
          <w:color w:val="000000"/>
        </w:rPr>
        <w:t>Informační</w:t>
      </w:r>
      <w:r>
        <w:rPr>
          <w:bCs/>
          <w:color w:val="000000"/>
        </w:rPr>
        <w:t>m</w:t>
      </w:r>
      <w:r w:rsidRPr="00AC5BFF">
        <w:rPr>
          <w:bCs/>
          <w:color w:val="000000"/>
        </w:rPr>
        <w:t xml:space="preserve"> a vzdělávací</w:t>
      </w:r>
      <w:r>
        <w:rPr>
          <w:bCs/>
          <w:color w:val="000000"/>
        </w:rPr>
        <w:t>m</w:t>
      </w:r>
      <w:r w:rsidRPr="00AC5BFF">
        <w:rPr>
          <w:bCs/>
          <w:color w:val="000000"/>
        </w:rPr>
        <w:t xml:space="preserve"> portál</w:t>
      </w:r>
      <w:r>
        <w:rPr>
          <w:bCs/>
          <w:color w:val="000000"/>
        </w:rPr>
        <w:t>u</w:t>
      </w:r>
      <w:r w:rsidRPr="00AC5BFF">
        <w:rPr>
          <w:bCs/>
          <w:color w:val="000000"/>
        </w:rPr>
        <w:t xml:space="preserve"> Libereckého kraje</w:t>
      </w:r>
      <w:r>
        <w:rPr>
          <w:bCs/>
          <w:color w:val="000000"/>
        </w:rPr>
        <w:t xml:space="preserve"> EDULK.CZ nejsou </w:t>
      </w:r>
      <w:r w:rsidRPr="00B64A55">
        <w:rPr>
          <w:bCs/>
          <w:color w:val="000000"/>
        </w:rPr>
        <w:t>obsaženy chybějící finanční prostředky na platy</w:t>
      </w:r>
      <w:r>
        <w:rPr>
          <w:bCs/>
          <w:color w:val="000000"/>
        </w:rPr>
        <w:t xml:space="preserve"> nepedagogických pracovníků ani</w:t>
      </w:r>
      <w:r w:rsidRPr="00B64A55">
        <w:rPr>
          <w:bCs/>
          <w:color w:val="000000"/>
        </w:rPr>
        <w:t xml:space="preserve"> související průměrný přepočtený úvazek </w:t>
      </w:r>
      <w:r>
        <w:rPr>
          <w:bCs/>
          <w:color w:val="000000"/>
        </w:rPr>
        <w:t>nepedagogických zaměstnanců</w:t>
      </w:r>
      <w:r w:rsidRPr="00B64A55">
        <w:rPr>
          <w:bCs/>
          <w:color w:val="000000"/>
        </w:rPr>
        <w:t xml:space="preserve"> a ONIV na období </w:t>
      </w:r>
      <w:r>
        <w:rPr>
          <w:bCs/>
          <w:color w:val="000000"/>
        </w:rPr>
        <w:t>od září do prosince roku 2025</w:t>
      </w:r>
      <w:r w:rsidRPr="00B64A55">
        <w:rPr>
          <w:bCs/>
          <w:color w:val="000000"/>
        </w:rPr>
        <w:t xml:space="preserve">. Tyto objemy do rozpočtu potvrzovaného organizacím nezahrnujeme, nejsou pokryty. </w:t>
      </w:r>
    </w:p>
    <w:p w14:paraId="7CC17104" w14:textId="77777777" w:rsidR="00B559F4" w:rsidRDefault="00B559F4" w:rsidP="00F618A6">
      <w:pPr>
        <w:jc w:val="both"/>
      </w:pPr>
    </w:p>
    <w:p w14:paraId="643C015E" w14:textId="77777777" w:rsidR="00EE2D32" w:rsidRPr="001F0C31" w:rsidRDefault="00EE2D32" w:rsidP="00EE2D32">
      <w:pPr>
        <w:jc w:val="both"/>
        <w:rPr>
          <w:highlight w:val="yellow"/>
        </w:rPr>
      </w:pPr>
    </w:p>
    <w:p w14:paraId="6A4F3D00" w14:textId="77777777" w:rsidR="002D2329" w:rsidRPr="00970EB0" w:rsidRDefault="002D2329" w:rsidP="00D4269E">
      <w:pPr>
        <w:pStyle w:val="Nadpis3"/>
      </w:pPr>
      <w:r w:rsidRPr="00970EB0">
        <w:t>Ukazatel průměrné roční výše ostatních neinvestičních výdajů ze státního rozpočtu připadajících na jednotku výkonu (ONIV)</w:t>
      </w:r>
    </w:p>
    <w:p w14:paraId="377C3B97" w14:textId="124770BB" w:rsidR="000413A9" w:rsidRPr="001F0C31" w:rsidRDefault="000413A9" w:rsidP="000413A9">
      <w:pPr>
        <w:jc w:val="both"/>
        <w:rPr>
          <w:highlight w:val="yellow"/>
        </w:rPr>
      </w:pPr>
      <w:r w:rsidRPr="00970EB0">
        <w:t>Ukazatel průměrné roční výše ostatních neinvestičních výdajů ze státního rozpočtu připadajících na jednotku výkonu (</w:t>
      </w:r>
      <w:r w:rsidRPr="00970EB0">
        <w:rPr>
          <w:b/>
        </w:rPr>
        <w:t>ONIV</w:t>
      </w:r>
      <w:r w:rsidRPr="00970EB0">
        <w:t>) byl ve srovnání s rokem 202</w:t>
      </w:r>
      <w:r w:rsidR="00970EB0" w:rsidRPr="00970EB0">
        <w:t>4</w:t>
      </w:r>
      <w:r w:rsidRPr="00970EB0">
        <w:t xml:space="preserve"> sníže</w:t>
      </w:r>
      <w:r w:rsidRPr="00BD19BB">
        <w:t>n.</w:t>
      </w:r>
    </w:p>
    <w:p w14:paraId="2D94A244" w14:textId="1512ABBD" w:rsidR="00970EB0" w:rsidRDefault="00263A57" w:rsidP="000413A9">
      <w:pPr>
        <w:jc w:val="both"/>
        <w:rPr>
          <w:highlight w:val="yellow"/>
        </w:rPr>
      </w:pPr>
      <w:r>
        <w:rPr>
          <w:b/>
          <w:noProof/>
        </w:rPr>
        <mc:AlternateContent>
          <mc:Choice Requires="wps">
            <w:drawing>
              <wp:anchor distT="0" distB="0" distL="114300" distR="114300" simplePos="0" relativeHeight="251661312" behindDoc="0" locked="0" layoutInCell="1" allowOverlap="1" wp14:anchorId="7C1BC530" wp14:editId="69DD02C1">
                <wp:simplePos x="0" y="0"/>
                <wp:positionH relativeFrom="margin">
                  <wp:posOffset>30798</wp:posOffset>
                </wp:positionH>
                <wp:positionV relativeFrom="paragraph">
                  <wp:posOffset>124082</wp:posOffset>
                </wp:positionV>
                <wp:extent cx="5722013" cy="992937"/>
                <wp:effectExtent l="0" t="0" r="0" b="0"/>
                <wp:wrapNone/>
                <wp:docPr id="1978121931" name="Textové pole 1"/>
                <wp:cNvGraphicFramePr/>
                <a:graphic xmlns:a="http://schemas.openxmlformats.org/drawingml/2006/main">
                  <a:graphicData uri="http://schemas.microsoft.com/office/word/2010/wordprocessingShape">
                    <wps:wsp>
                      <wps:cNvSpPr txBox="1"/>
                      <wps:spPr>
                        <a:xfrm>
                          <a:off x="0" y="0"/>
                          <a:ext cx="5722013" cy="992937"/>
                        </a:xfrm>
                        <a:prstGeom prst="rect">
                          <a:avLst/>
                        </a:prstGeom>
                        <a:solidFill>
                          <a:schemeClr val="bg1">
                            <a:lumMod val="95000"/>
                          </a:schemeClr>
                        </a:solidFill>
                        <a:ln w="6350">
                          <a:noFill/>
                        </a:ln>
                      </wps:spPr>
                      <wps:txbx>
                        <w:txbxContent>
                          <w:p w14:paraId="536AD37B" w14:textId="77777777" w:rsidR="00263A57" w:rsidRDefault="00263A57" w:rsidP="00263A57">
                            <w:pPr>
                              <w:pStyle w:val="Zkladntext31"/>
                              <w:rPr>
                                <w:bCs/>
                                <w:color w:val="000000"/>
                              </w:rPr>
                            </w:pPr>
                            <w:r>
                              <w:rPr>
                                <w:bCs/>
                                <w:color w:val="000000"/>
                              </w:rPr>
                              <w:t>V souladu s vyhláškou MŠMT č, 310/2018 Sb., o krajských normativech, v platném znění, jsou normativy stanoveny na období celého kalendářního roku 2025 (tj. od ledna do prosince).</w:t>
                            </w:r>
                          </w:p>
                          <w:p w14:paraId="444006C0" w14:textId="0DBDCD84" w:rsidR="00263A57" w:rsidRPr="00B41456" w:rsidRDefault="00263A57" w:rsidP="00263A57">
                            <w:pPr>
                              <w:pStyle w:val="Zkladntext31"/>
                              <w:rPr>
                                <w:bCs/>
                                <w:color w:val="000000"/>
                              </w:rPr>
                            </w:pPr>
                            <w:r>
                              <w:rPr>
                                <w:bCs/>
                                <w:color w:val="000000"/>
                              </w:rPr>
                              <w:t xml:space="preserve">Na základě dotace přidělené z MŠMT do rozpočtu Libereckého kraje jsou aktuálně kryty ostatní neinvestiční výdaje </w:t>
                            </w:r>
                            <w:r w:rsidR="00D71848">
                              <w:rPr>
                                <w:bCs/>
                                <w:color w:val="000000"/>
                              </w:rPr>
                              <w:t xml:space="preserve">(ONIV) </w:t>
                            </w:r>
                            <w:r>
                              <w:rPr>
                                <w:bCs/>
                                <w:color w:val="000000"/>
                              </w:rPr>
                              <w:t xml:space="preserve">na období 8 měsíců roku 2025, (tj. od ledna do srpna).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BC530" id="_x0000_s1028" type="#_x0000_t202" style="position:absolute;left:0;text-align:left;margin-left:2.45pt;margin-top:9.75pt;width:450.55pt;height:7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" fillcolor="#f2f2f2 [3052]" stroked="f" strokeweight=".5pt">
                <v:textbox>
                  <w:txbxContent>
                    <w:p w14:paraId="536AD37B" w14:textId="77777777" w:rsidR="00263A57" w:rsidRDefault="00263A57" w:rsidP="00263A57">
                      <w:pPr>
                        <w:pStyle w:val="Zkladntext31"/>
                        <w:rPr>
                          <w:bCs/>
                          <w:color w:val="000000"/>
                        </w:rPr>
                      </w:pPr>
                      <w:r>
                        <w:rPr>
                          <w:bCs/>
                          <w:color w:val="000000"/>
                        </w:rPr>
                        <w:t>V souladu s vyhláškou MŠMT č, 310/2018 Sb., o krajských normativech, v platném znění, jsou normativy stanoveny na období celého kalendářního roku 2025 (tj. od ledna do prosince).</w:t>
                      </w:r>
                    </w:p>
                    <w:p w14:paraId="444006C0" w14:textId="0DBDCD84" w:rsidR="00263A57" w:rsidRPr="00B41456" w:rsidRDefault="00263A57" w:rsidP="00263A57">
                      <w:pPr>
                        <w:pStyle w:val="Zkladntext31"/>
                        <w:rPr>
                          <w:bCs/>
                          <w:color w:val="000000"/>
                        </w:rPr>
                      </w:pPr>
                      <w:r>
                        <w:rPr>
                          <w:bCs/>
                          <w:color w:val="000000"/>
                        </w:rPr>
                        <w:t xml:space="preserve">Na základě dotace přidělené z MŠMT do rozpočtu Libereckého kraje jsou aktuálně kryty ostatní neinvestiční výdaje </w:t>
                      </w:r>
                      <w:r w:rsidR="00D71848">
                        <w:rPr>
                          <w:bCs/>
                          <w:color w:val="000000"/>
                        </w:rPr>
                        <w:t xml:space="preserve">(ONIV) </w:t>
                      </w:r>
                      <w:r>
                        <w:rPr>
                          <w:bCs/>
                          <w:color w:val="000000"/>
                        </w:rPr>
                        <w:t xml:space="preserve">na období 8 měsíců roku 2025, (tj. od ledna do srpna). </w:t>
                      </w:r>
                    </w:p>
                  </w:txbxContent>
                </v:textbox>
                <w10:wrap anchorx="margin"/>
              </v:shape>
            </w:pict>
          </mc:Fallback>
        </mc:AlternateContent>
      </w:r>
    </w:p>
    <w:p w14:paraId="30714238" w14:textId="25ADBC04" w:rsidR="003107CC" w:rsidRDefault="003107CC" w:rsidP="000413A9">
      <w:pPr>
        <w:jc w:val="both"/>
        <w:rPr>
          <w:highlight w:val="yellow"/>
        </w:rPr>
      </w:pPr>
    </w:p>
    <w:p w14:paraId="353BD518" w14:textId="20B29775" w:rsidR="00263A57" w:rsidRDefault="00263A57" w:rsidP="000413A9">
      <w:pPr>
        <w:jc w:val="both"/>
        <w:rPr>
          <w:highlight w:val="yellow"/>
        </w:rPr>
      </w:pPr>
    </w:p>
    <w:p w14:paraId="4F6697BC" w14:textId="77777777" w:rsidR="00263A57" w:rsidRDefault="00263A57" w:rsidP="000413A9">
      <w:pPr>
        <w:jc w:val="both"/>
        <w:rPr>
          <w:highlight w:val="yellow"/>
        </w:rPr>
      </w:pPr>
    </w:p>
    <w:p w14:paraId="4CF07861" w14:textId="77777777" w:rsidR="00263A57" w:rsidRDefault="00263A57" w:rsidP="000413A9">
      <w:pPr>
        <w:jc w:val="both"/>
        <w:rPr>
          <w:highlight w:val="yellow"/>
        </w:rPr>
      </w:pPr>
    </w:p>
    <w:p w14:paraId="7ECA580C" w14:textId="77777777" w:rsidR="00263A57" w:rsidRDefault="00263A57" w:rsidP="000413A9">
      <w:pPr>
        <w:jc w:val="both"/>
        <w:rPr>
          <w:highlight w:val="yellow"/>
        </w:rPr>
      </w:pPr>
    </w:p>
    <w:p w14:paraId="3662DF83" w14:textId="77777777" w:rsidR="00263A57" w:rsidRDefault="00263A57" w:rsidP="000413A9">
      <w:pPr>
        <w:jc w:val="both"/>
        <w:rPr>
          <w:highlight w:val="yellow"/>
        </w:rPr>
      </w:pPr>
    </w:p>
    <w:p w14:paraId="1DAB7827" w14:textId="53814179" w:rsidR="000413A9" w:rsidRPr="0072378B" w:rsidRDefault="0072378B" w:rsidP="000413A9">
      <w:pPr>
        <w:jc w:val="both"/>
      </w:pPr>
      <w:r w:rsidRPr="0072378B">
        <w:t>Nadále platí, že</w:t>
      </w:r>
      <w:r w:rsidR="000413A9" w:rsidRPr="0072378B">
        <w:t xml:space="preserve"> náhrada platu nebo odměny z dohod o pracích konaných mimo pracovní poměr (DPP, DPČ) při dočasné pracovní neschopnosti (karanténě) hradí z limitu objemu prostředků na platy nebo ostatní osobní náklady, tedy ONIV </w:t>
      </w:r>
      <w:r w:rsidR="00EC5464">
        <w:t>nejsou</w:t>
      </w:r>
      <w:r w:rsidR="000413A9" w:rsidRPr="0072378B">
        <w:t xml:space="preserve"> </w:t>
      </w:r>
      <w:r w:rsidR="00970EB0">
        <w:t xml:space="preserve">druhým rokem </w:t>
      </w:r>
      <w:r w:rsidR="000413A9" w:rsidRPr="0072378B">
        <w:t>využívány k hrazení náhrad za prvních 14 dnů nemoci zaměstnanců škol a školských zařízení.</w:t>
      </w:r>
    </w:p>
    <w:p w14:paraId="3C9EB0BB" w14:textId="77777777" w:rsidR="0072378B" w:rsidRDefault="0072378B" w:rsidP="000413A9">
      <w:pPr>
        <w:jc w:val="both"/>
        <w:rPr>
          <w:highlight w:val="yellow"/>
        </w:rPr>
      </w:pPr>
    </w:p>
    <w:p w14:paraId="53457B40" w14:textId="13AC5934" w:rsidR="002D2329" w:rsidRDefault="002D2329" w:rsidP="00D4269E">
      <w:pPr>
        <w:pStyle w:val="Nadpis2"/>
      </w:pPr>
      <w:r w:rsidRPr="006C3521">
        <w:lastRenderedPageBreak/>
        <w:t xml:space="preserve">Základní finanční částka </w:t>
      </w:r>
    </w:p>
    <w:p w14:paraId="2B963106" w14:textId="77777777" w:rsidR="002D2329" w:rsidRPr="006C3521" w:rsidRDefault="002D2329" w:rsidP="00D4269E">
      <w:pPr>
        <w:jc w:val="both"/>
      </w:pPr>
      <w:r w:rsidRPr="006C3521">
        <w:t xml:space="preserve">Základní finanční částka připadající na jednotku výkonu se stanoví z ukazatelů </w:t>
      </w:r>
      <w:proofErr w:type="spellStart"/>
      <w:r w:rsidRPr="006C3521">
        <w:t>Np</w:t>
      </w:r>
      <w:proofErr w:type="spellEnd"/>
      <w:r w:rsidRPr="006C3521">
        <w:t>, No, Pp, Po a</w:t>
      </w:r>
      <w:r>
        <w:t> </w:t>
      </w:r>
      <w:r w:rsidRPr="006C3521">
        <w:t>ONIV následovně:</w:t>
      </w:r>
    </w:p>
    <w:p w14:paraId="3BE386CD" w14:textId="77777777" w:rsidR="002D2329" w:rsidRPr="006C3521" w:rsidRDefault="002D2329" w:rsidP="00D4269E">
      <w:pPr>
        <w:numPr>
          <w:ilvl w:val="0"/>
          <w:numId w:val="3"/>
        </w:numPr>
        <w:jc w:val="both"/>
      </w:pPr>
      <w:r w:rsidRPr="006C3521">
        <w:t>u školských zařízení, jejichž činnost je realizována pedagogickými i</w:t>
      </w:r>
      <w:r>
        <w:t> </w:t>
      </w:r>
      <w:r w:rsidRPr="006C3521">
        <w:t>nepedagogickými pracovníky</w:t>
      </w:r>
      <w:r>
        <w:t>, s výjimkou školních družin</w:t>
      </w:r>
      <w:r w:rsidRPr="006C3521">
        <w:t>:</w:t>
      </w:r>
    </w:p>
    <w:p w14:paraId="22B73539" w14:textId="77777777" w:rsidR="002D2329" w:rsidRPr="006C3521" w:rsidRDefault="002D2329" w:rsidP="00D4269E">
      <w:pPr>
        <w:spacing w:before="120"/>
        <w:ind w:left="360"/>
        <w:jc w:val="both"/>
      </w:pPr>
      <w:r w:rsidRPr="006C3521">
        <w:t>1/</w:t>
      </w:r>
      <w:proofErr w:type="spellStart"/>
      <w:r w:rsidRPr="006C3521">
        <w:t>Np</w:t>
      </w:r>
      <w:proofErr w:type="spellEnd"/>
      <w:r w:rsidRPr="006C3521">
        <w:t xml:space="preserve"> * Pp * 12 * </w:t>
      </w:r>
      <w:proofErr w:type="gramStart"/>
      <w:r w:rsidRPr="006C3521">
        <w:t>1,Proc</w:t>
      </w:r>
      <w:proofErr w:type="gramEnd"/>
      <w:r w:rsidRPr="006C3521">
        <w:t xml:space="preserve"> + 1/No * Po * 12 * 1,Proc + ONIV,</w:t>
      </w:r>
    </w:p>
    <w:p w14:paraId="6981A1DF" w14:textId="77777777" w:rsidR="002D2329" w:rsidRPr="006C3521" w:rsidRDefault="002D2329" w:rsidP="00D4269E">
      <w:pPr>
        <w:ind w:firstLine="420"/>
        <w:jc w:val="both"/>
      </w:pPr>
    </w:p>
    <w:p w14:paraId="2D2BE3DF" w14:textId="77777777" w:rsidR="002D2329" w:rsidRPr="006C3521" w:rsidRDefault="002D2329" w:rsidP="00D4269E">
      <w:pPr>
        <w:numPr>
          <w:ilvl w:val="0"/>
          <w:numId w:val="3"/>
        </w:numPr>
        <w:jc w:val="both"/>
      </w:pPr>
      <w:r w:rsidRPr="006C3521">
        <w:t>u školských zařízení</w:t>
      </w:r>
      <w:r>
        <w:t xml:space="preserve"> školního stravování a školních družin</w:t>
      </w:r>
      <w:r w:rsidRPr="006C3521">
        <w:t>:</w:t>
      </w:r>
    </w:p>
    <w:p w14:paraId="07D19F28" w14:textId="77777777" w:rsidR="002D2329" w:rsidRPr="006C3521" w:rsidRDefault="002D2329" w:rsidP="00D4269E">
      <w:pPr>
        <w:spacing w:before="120"/>
        <w:ind w:left="360"/>
        <w:jc w:val="both"/>
      </w:pPr>
      <w:r w:rsidRPr="006C3521">
        <w:t xml:space="preserve">1/No * Po * 12 * </w:t>
      </w:r>
      <w:proofErr w:type="gramStart"/>
      <w:r w:rsidRPr="006C3521">
        <w:t>1,Proc</w:t>
      </w:r>
      <w:proofErr w:type="gramEnd"/>
      <w:r w:rsidRPr="006C3521">
        <w:t xml:space="preserve"> + ONIV,</w:t>
      </w:r>
    </w:p>
    <w:p w14:paraId="0FD37D67" w14:textId="77777777" w:rsidR="002D2329" w:rsidRPr="006C3521" w:rsidRDefault="002D2329" w:rsidP="00D4269E">
      <w:pPr>
        <w:jc w:val="both"/>
      </w:pPr>
    </w:p>
    <w:p w14:paraId="3F7E90EA" w14:textId="51FD16C9" w:rsidR="002D2329" w:rsidRPr="007C47D5" w:rsidRDefault="002D2329" w:rsidP="00D4269E">
      <w:pPr>
        <w:ind w:right="-82"/>
        <w:jc w:val="both"/>
      </w:pPr>
      <w:r w:rsidRPr="00DA3563">
        <w:t xml:space="preserve">kde </w:t>
      </w:r>
      <w:proofErr w:type="spellStart"/>
      <w:r w:rsidRPr="00DA3563">
        <w:t>Proc</w:t>
      </w:r>
      <w:proofErr w:type="spellEnd"/>
      <w:r w:rsidRPr="00DA3563">
        <w:t xml:space="preserve"> je součtem procent sazby pojistného na sociální zabezpečení a příspěvku na státní politiku zaměstnanosti, jehož poplatníkem je zaměstnavatel, procent sazby pojistného na</w:t>
      </w:r>
      <w:r w:rsidR="001F0C31" w:rsidRPr="00DA3563">
        <w:t> </w:t>
      </w:r>
      <w:r w:rsidRPr="00DA3563">
        <w:t>všeobecné zdravotní pojištění, které platí zaměstnavatel za své zaměstnance (celkem ve výši 33,8 %) a procent, v jejichž výši se stanoví základní příděl, kterým je tvořen fond kulturních a</w:t>
      </w:r>
      <w:r w:rsidR="001F0C31" w:rsidRPr="00DA3563">
        <w:t> </w:t>
      </w:r>
      <w:r w:rsidRPr="00DA3563">
        <w:t xml:space="preserve">sociálních potřeb (ve výši </w:t>
      </w:r>
      <w:r w:rsidR="004903E1" w:rsidRPr="00DA3563">
        <w:t>1 %</w:t>
      </w:r>
      <w:r w:rsidRPr="00DA3563">
        <w:t>).</w:t>
      </w:r>
    </w:p>
    <w:p w14:paraId="758A3932" w14:textId="77777777" w:rsidR="002D2329" w:rsidRPr="006C3521" w:rsidRDefault="002D2329" w:rsidP="00D4269E">
      <w:pPr>
        <w:jc w:val="both"/>
      </w:pPr>
    </w:p>
    <w:p w14:paraId="52C12B59" w14:textId="769A6F04" w:rsidR="002D2329" w:rsidRPr="001737AB" w:rsidRDefault="002D2329" w:rsidP="00D4269E">
      <w:pPr>
        <w:jc w:val="both"/>
      </w:pPr>
    </w:p>
    <w:p w14:paraId="04260562" w14:textId="77777777" w:rsidR="002D2329" w:rsidRPr="006C3521" w:rsidRDefault="002D2329" w:rsidP="00D4269E">
      <w:pPr>
        <w:pStyle w:val="Nadpis2"/>
      </w:pPr>
      <w:r>
        <w:t>Opravné koeficienty a násobky</w:t>
      </w:r>
    </w:p>
    <w:p w14:paraId="41A926BE" w14:textId="77777777" w:rsidR="002D2329" w:rsidRDefault="002D2329" w:rsidP="00D4269E">
      <w:pPr>
        <w:jc w:val="both"/>
      </w:pPr>
      <w:r w:rsidRPr="006C3521">
        <w:t xml:space="preserve">V souladu s § </w:t>
      </w:r>
      <w:r>
        <w:t>4</w:t>
      </w:r>
      <w:r w:rsidRPr="006C3521">
        <w:t xml:space="preserve"> odst. </w:t>
      </w:r>
      <w:r>
        <w:t xml:space="preserve">2 </w:t>
      </w:r>
      <w:r w:rsidRPr="006C3521">
        <w:t xml:space="preserve">vyhlášky jsou </w:t>
      </w:r>
      <w:r>
        <w:t xml:space="preserve">ke krajskému normativu </w:t>
      </w:r>
      <w:r w:rsidRPr="006C3521">
        <w:t xml:space="preserve">stanoveny </w:t>
      </w:r>
      <w:r w:rsidRPr="00A53E08">
        <w:t>opravné koeficienty zohledňující náročnost poradenských služeb poskytovaných speciálně pedagogickým centrem podle druhu znevýhodnění.</w:t>
      </w:r>
    </w:p>
    <w:p w14:paraId="11400BF6" w14:textId="52C84965" w:rsidR="002D2329" w:rsidRDefault="002D2329" w:rsidP="00D4269E">
      <w:pPr>
        <w:jc w:val="both"/>
      </w:pPr>
      <w:r>
        <w:t>Pro dětské domovy byly v souladu s § 4 odst. 3 vyhlášky stanoveny opravné koeficienty podle počtu rodinných skupin.</w:t>
      </w:r>
    </w:p>
    <w:p w14:paraId="68B490F7" w14:textId="287CA932" w:rsidR="006B3287" w:rsidRDefault="006B3287" w:rsidP="00D4269E">
      <w:pPr>
        <w:jc w:val="both"/>
      </w:pPr>
      <w:r>
        <w:t>Pro střediska volného času byl pro výpočet použit pro jednotku výkonu podle § 1 písm. </w:t>
      </w:r>
      <w:r w:rsidRPr="006B3287">
        <w:t>b) bod</w:t>
      </w:r>
      <w:r>
        <w:t> </w:t>
      </w:r>
      <w:r w:rsidRPr="006B3287">
        <w:t xml:space="preserve">3 </w:t>
      </w:r>
      <w:r>
        <w:t xml:space="preserve">opravný koeficient ve výši 0,25 </w:t>
      </w:r>
      <w:r w:rsidRPr="006B3287">
        <w:t>normat</w:t>
      </w:r>
      <w:r>
        <w:t xml:space="preserve">ivu pro jednotku výkonu podle § 1 písm. b) bodu </w:t>
      </w:r>
      <w:r w:rsidRPr="006B3287">
        <w:t>2</w:t>
      </w:r>
      <w:r>
        <w:t xml:space="preserve"> vyhlášky.</w:t>
      </w:r>
    </w:p>
    <w:p w14:paraId="6117940A" w14:textId="1EFD298B" w:rsidR="002D2329" w:rsidRDefault="002D2329" w:rsidP="00D4269E">
      <w:pPr>
        <w:jc w:val="both"/>
      </w:pPr>
      <w:r w:rsidRPr="00A4538B">
        <w:t xml:space="preserve">V případě školní </w:t>
      </w:r>
      <w:proofErr w:type="gramStart"/>
      <w:r w:rsidRPr="00A4538B">
        <w:t>jídelny - vývařovny</w:t>
      </w:r>
      <w:proofErr w:type="gramEnd"/>
      <w:r w:rsidRPr="00A4538B">
        <w:t xml:space="preserve"> a školní jídelny - výdejny v souladu </w:t>
      </w:r>
      <w:r w:rsidR="006B3287">
        <w:t>s § </w:t>
      </w:r>
      <w:r>
        <w:t>7</w:t>
      </w:r>
      <w:r w:rsidR="006B3287">
        <w:t> odst. </w:t>
      </w:r>
      <w:r>
        <w:t xml:space="preserve">2 </w:t>
      </w:r>
      <w:r w:rsidRPr="006C3521">
        <w:t>vyhlášky</w:t>
      </w:r>
      <w:r w:rsidRPr="00A4538B">
        <w:t xml:space="preserve"> </w:t>
      </w:r>
      <w:r>
        <w:t>je zveřejněn</w:t>
      </w:r>
      <w:r w:rsidRPr="00A4538B">
        <w:t xml:space="preserve"> krajský normativ v podobě násobku krajského normativu stanoveného </w:t>
      </w:r>
      <w:r w:rsidR="006B3287">
        <w:t>pro </w:t>
      </w:r>
      <w:r w:rsidRPr="00A4538B">
        <w:t>odpovídající je</w:t>
      </w:r>
      <w:r>
        <w:t>dnotku výkonu ve školní jídelně:</w:t>
      </w:r>
    </w:p>
    <w:p w14:paraId="60971BE6" w14:textId="77777777" w:rsidR="002D2329" w:rsidRPr="006C3521" w:rsidRDefault="002D2329" w:rsidP="00D4269E">
      <w:pPr>
        <w:pStyle w:val="Seznamsodrkami"/>
      </w:pPr>
      <w:r w:rsidRPr="006C3521">
        <w:t>školní jídelna – vývařovna ve výši 0,60 základní částky příslušného normativu,</w:t>
      </w:r>
    </w:p>
    <w:p w14:paraId="20161F59" w14:textId="77777777" w:rsidR="002D2329" w:rsidRPr="006C3521" w:rsidRDefault="002D2329" w:rsidP="00D4269E">
      <w:pPr>
        <w:pStyle w:val="Seznamsodrkami"/>
      </w:pPr>
      <w:r w:rsidRPr="006C3521">
        <w:t>školní jídelna – výdejna ve výši 0,40 základní částky příslušného normativu.</w:t>
      </w:r>
    </w:p>
    <w:p w14:paraId="0BBD562D" w14:textId="568BFCA5" w:rsidR="002D2329" w:rsidRDefault="002D2329" w:rsidP="00D4269E">
      <w:pPr>
        <w:jc w:val="both"/>
      </w:pPr>
    </w:p>
    <w:p w14:paraId="57BE32FC" w14:textId="77777777" w:rsidR="007D6277" w:rsidRDefault="007D6277" w:rsidP="00D4269E">
      <w:pPr>
        <w:jc w:val="both"/>
      </w:pPr>
    </w:p>
    <w:p w14:paraId="491A4137" w14:textId="77777777" w:rsidR="007E7AE9" w:rsidRDefault="007E7AE9" w:rsidP="00D4269E">
      <w:pPr>
        <w:jc w:val="both"/>
      </w:pPr>
    </w:p>
    <w:p w14:paraId="6D5C6827" w14:textId="77777777" w:rsidR="007E7AE9" w:rsidRPr="00500F8D" w:rsidRDefault="007E7AE9" w:rsidP="007E7AE9">
      <w:pPr>
        <w:pStyle w:val="Nadpis1"/>
      </w:pPr>
      <w:r w:rsidRPr="00500F8D">
        <w:t>Tvorba rezervy</w:t>
      </w:r>
    </w:p>
    <w:p w14:paraId="34AF9A04" w14:textId="77777777" w:rsidR="007D6277" w:rsidRPr="00500F8D" w:rsidRDefault="007D6277" w:rsidP="007D6277"/>
    <w:p w14:paraId="0D148ACB" w14:textId="76B9DA58" w:rsidR="007E7AE9" w:rsidRPr="00500F8D" w:rsidRDefault="007E7AE9" w:rsidP="007E7AE9">
      <w:pPr>
        <w:jc w:val="both"/>
      </w:pPr>
      <w:r w:rsidRPr="00500F8D">
        <w:t>Rezervu finančních prostředků určenou k řešení objektivních disproporcí ve finančním zabezpečení škol a školských zařízení vytvářejí v roce 202</w:t>
      </w:r>
      <w:r w:rsidR="00500F8D" w:rsidRPr="00500F8D">
        <w:t>5</w:t>
      </w:r>
      <w:r w:rsidRPr="00500F8D">
        <w:t xml:space="preserve"> z normativně rozepsaných zdrojů jednotlivé krajské úřady. Zároveň rezervu v letošním roce stanovilo a rozepsalo jednotlivým krajům MŠMT. </w:t>
      </w:r>
    </w:p>
    <w:p w14:paraId="681D5381" w14:textId="77777777" w:rsidR="007E7AE9" w:rsidRPr="007C47D5" w:rsidRDefault="007E7AE9" w:rsidP="007E7AE9">
      <w:pPr>
        <w:jc w:val="both"/>
        <w:rPr>
          <w:highlight w:val="yellow"/>
        </w:rPr>
      </w:pPr>
    </w:p>
    <w:p w14:paraId="481959D3" w14:textId="686A3CC4" w:rsidR="007E7AE9" w:rsidRPr="00500F8D" w:rsidRDefault="007E7AE9" w:rsidP="007E7AE9">
      <w:pPr>
        <w:rPr>
          <w:b/>
          <w:sz w:val="20"/>
          <w:szCs w:val="20"/>
        </w:rPr>
      </w:pPr>
      <w:r w:rsidRPr="00500F8D">
        <w:rPr>
          <w:b/>
          <w:sz w:val="20"/>
          <w:szCs w:val="20"/>
        </w:rPr>
        <w:t>Rezerva pro rok 202</w:t>
      </w:r>
      <w:r w:rsidR="00500F8D" w:rsidRPr="00500F8D">
        <w:rPr>
          <w:b/>
          <w:sz w:val="20"/>
          <w:szCs w:val="20"/>
        </w:rPr>
        <w:t>5</w:t>
      </w:r>
      <w:r w:rsidRPr="00500F8D">
        <w:rPr>
          <w:b/>
          <w:sz w:val="20"/>
          <w:szCs w:val="20"/>
        </w:rPr>
        <w:t xml:space="preserve"> (bez podpůrných opatření)</w:t>
      </w:r>
    </w:p>
    <w:tbl>
      <w:tblPr>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2410"/>
        <w:gridCol w:w="2405"/>
        <w:gridCol w:w="1337"/>
      </w:tblGrid>
      <w:tr w:rsidR="003E313D" w:rsidRPr="00500F8D" w14:paraId="33E7EF52" w14:textId="77777777" w:rsidTr="00A000F0">
        <w:trPr>
          <w:trHeight w:val="551"/>
        </w:trPr>
        <w:tc>
          <w:tcPr>
            <w:tcW w:w="1701" w:type="dxa"/>
            <w:shd w:val="clear" w:color="auto" w:fill="auto"/>
            <w:vAlign w:val="center"/>
            <w:hideMark/>
          </w:tcPr>
          <w:p w14:paraId="0F97C4F4" w14:textId="77777777" w:rsidR="003E313D" w:rsidRPr="00500F8D" w:rsidRDefault="003E313D" w:rsidP="002457B8">
            <w:pPr>
              <w:jc w:val="center"/>
              <w:rPr>
                <w:b/>
                <w:bCs/>
                <w:color w:val="000000"/>
                <w:sz w:val="20"/>
                <w:szCs w:val="20"/>
              </w:rPr>
            </w:pPr>
            <w:r w:rsidRPr="00500F8D">
              <w:rPr>
                <w:b/>
                <w:bCs/>
                <w:color w:val="000000"/>
                <w:sz w:val="20"/>
                <w:szCs w:val="20"/>
              </w:rPr>
              <w:t>NIV celkem v Kč</w:t>
            </w:r>
          </w:p>
        </w:tc>
        <w:tc>
          <w:tcPr>
            <w:tcW w:w="2410" w:type="dxa"/>
            <w:shd w:val="clear" w:color="auto" w:fill="auto"/>
            <w:vAlign w:val="center"/>
            <w:hideMark/>
          </w:tcPr>
          <w:p w14:paraId="4C6B7B30" w14:textId="77777777" w:rsidR="003E313D" w:rsidRPr="00500F8D" w:rsidRDefault="003E313D" w:rsidP="002457B8">
            <w:pPr>
              <w:jc w:val="center"/>
              <w:rPr>
                <w:b/>
                <w:bCs/>
                <w:color w:val="000000"/>
                <w:sz w:val="20"/>
                <w:szCs w:val="20"/>
              </w:rPr>
            </w:pPr>
            <w:r w:rsidRPr="00500F8D">
              <w:rPr>
                <w:b/>
                <w:bCs/>
                <w:color w:val="000000"/>
                <w:sz w:val="20"/>
                <w:szCs w:val="20"/>
              </w:rPr>
              <w:t>Prostředky na platy v Kč</w:t>
            </w:r>
          </w:p>
        </w:tc>
        <w:tc>
          <w:tcPr>
            <w:tcW w:w="2405" w:type="dxa"/>
            <w:shd w:val="clear" w:color="auto" w:fill="auto"/>
            <w:vAlign w:val="center"/>
            <w:hideMark/>
          </w:tcPr>
          <w:p w14:paraId="5261C344" w14:textId="77777777" w:rsidR="003E313D" w:rsidRPr="00500F8D" w:rsidRDefault="003E313D" w:rsidP="002457B8">
            <w:pPr>
              <w:jc w:val="center"/>
              <w:rPr>
                <w:b/>
                <w:bCs/>
                <w:color w:val="000000"/>
                <w:sz w:val="20"/>
                <w:szCs w:val="20"/>
              </w:rPr>
            </w:pPr>
            <w:r w:rsidRPr="00500F8D">
              <w:rPr>
                <w:b/>
                <w:bCs/>
                <w:color w:val="000000"/>
                <w:sz w:val="20"/>
                <w:szCs w:val="20"/>
              </w:rPr>
              <w:t>Prostředky na OON v Kč</w:t>
            </w:r>
          </w:p>
        </w:tc>
        <w:tc>
          <w:tcPr>
            <w:tcW w:w="1337" w:type="dxa"/>
            <w:shd w:val="clear" w:color="auto" w:fill="auto"/>
            <w:vAlign w:val="center"/>
            <w:hideMark/>
          </w:tcPr>
          <w:p w14:paraId="0B8CF7F3" w14:textId="77777777" w:rsidR="003E313D" w:rsidRPr="00500F8D" w:rsidRDefault="003E313D" w:rsidP="002457B8">
            <w:pPr>
              <w:jc w:val="center"/>
              <w:rPr>
                <w:b/>
                <w:bCs/>
                <w:color w:val="000000"/>
                <w:sz w:val="20"/>
                <w:szCs w:val="20"/>
              </w:rPr>
            </w:pPr>
            <w:r w:rsidRPr="00500F8D">
              <w:rPr>
                <w:b/>
                <w:bCs/>
                <w:color w:val="000000"/>
                <w:sz w:val="20"/>
                <w:szCs w:val="20"/>
              </w:rPr>
              <w:t>ONIV v Kč</w:t>
            </w:r>
          </w:p>
        </w:tc>
      </w:tr>
      <w:tr w:rsidR="003E313D" w:rsidRPr="007C47D5" w14:paraId="310BB449" w14:textId="77777777" w:rsidTr="00A000F0">
        <w:trPr>
          <w:trHeight w:val="300"/>
        </w:trPr>
        <w:tc>
          <w:tcPr>
            <w:tcW w:w="1701" w:type="dxa"/>
            <w:shd w:val="clear" w:color="auto" w:fill="auto"/>
            <w:noWrap/>
            <w:vAlign w:val="bottom"/>
          </w:tcPr>
          <w:p w14:paraId="63D4E7F1" w14:textId="1ECDC2F1" w:rsidR="003E313D" w:rsidRPr="00500F8D" w:rsidRDefault="00C44BF0" w:rsidP="002457B8">
            <w:pPr>
              <w:jc w:val="right"/>
              <w:rPr>
                <w:color w:val="000000"/>
                <w:sz w:val="20"/>
                <w:szCs w:val="20"/>
              </w:rPr>
            </w:pPr>
            <w:r w:rsidRPr="00C44BF0">
              <w:rPr>
                <w:color w:val="000000"/>
                <w:sz w:val="20"/>
                <w:szCs w:val="20"/>
              </w:rPr>
              <w:t>55 070 028,00</w:t>
            </w:r>
          </w:p>
        </w:tc>
        <w:tc>
          <w:tcPr>
            <w:tcW w:w="2410" w:type="dxa"/>
            <w:shd w:val="clear" w:color="auto" w:fill="auto"/>
            <w:noWrap/>
            <w:vAlign w:val="bottom"/>
          </w:tcPr>
          <w:p w14:paraId="79D2E981" w14:textId="435BE556" w:rsidR="003E313D" w:rsidRPr="00500F8D" w:rsidRDefault="003A2502" w:rsidP="002457B8">
            <w:pPr>
              <w:jc w:val="right"/>
              <w:rPr>
                <w:color w:val="000000"/>
                <w:sz w:val="20"/>
                <w:szCs w:val="20"/>
              </w:rPr>
            </w:pPr>
            <w:r w:rsidRPr="003A2502">
              <w:rPr>
                <w:color w:val="000000"/>
                <w:sz w:val="20"/>
                <w:szCs w:val="20"/>
              </w:rPr>
              <w:t>14 028 486,00</w:t>
            </w:r>
          </w:p>
        </w:tc>
        <w:tc>
          <w:tcPr>
            <w:tcW w:w="2405" w:type="dxa"/>
            <w:shd w:val="clear" w:color="auto" w:fill="auto"/>
            <w:noWrap/>
            <w:vAlign w:val="bottom"/>
          </w:tcPr>
          <w:p w14:paraId="2B54FBB7" w14:textId="1D84B836" w:rsidR="003E313D" w:rsidRPr="00500F8D" w:rsidRDefault="003A2502" w:rsidP="002457B8">
            <w:pPr>
              <w:jc w:val="right"/>
              <w:rPr>
                <w:color w:val="000000"/>
                <w:sz w:val="20"/>
                <w:szCs w:val="20"/>
              </w:rPr>
            </w:pPr>
            <w:r w:rsidRPr="003A2502">
              <w:rPr>
                <w:color w:val="000000"/>
                <w:sz w:val="20"/>
                <w:szCs w:val="20"/>
              </w:rPr>
              <w:t>26 908 340,00</w:t>
            </w:r>
          </w:p>
        </w:tc>
        <w:tc>
          <w:tcPr>
            <w:tcW w:w="1337" w:type="dxa"/>
            <w:shd w:val="clear" w:color="auto" w:fill="auto"/>
            <w:noWrap/>
            <w:vAlign w:val="bottom"/>
          </w:tcPr>
          <w:p w14:paraId="76496D13" w14:textId="46287936" w:rsidR="003E313D" w:rsidRPr="00500F8D" w:rsidRDefault="00A000F0" w:rsidP="002457B8">
            <w:pPr>
              <w:jc w:val="right"/>
              <w:rPr>
                <w:color w:val="000000"/>
                <w:sz w:val="20"/>
                <w:szCs w:val="20"/>
              </w:rPr>
            </w:pPr>
            <w:r w:rsidRPr="00A000F0">
              <w:rPr>
                <w:color w:val="000000"/>
                <w:sz w:val="20"/>
                <w:szCs w:val="20"/>
              </w:rPr>
              <w:t>156 271,00</w:t>
            </w:r>
          </w:p>
        </w:tc>
      </w:tr>
    </w:tbl>
    <w:p w14:paraId="29101FF9" w14:textId="77777777" w:rsidR="007E7AE9" w:rsidRDefault="007E7AE9" w:rsidP="007E7AE9">
      <w:pPr>
        <w:jc w:val="both"/>
        <w:rPr>
          <w:highlight w:val="yellow"/>
        </w:rPr>
      </w:pPr>
    </w:p>
    <w:p w14:paraId="39321AD4" w14:textId="77777777" w:rsidR="00ED5823" w:rsidRPr="007C47D5" w:rsidRDefault="00ED5823" w:rsidP="007E7AE9">
      <w:pPr>
        <w:jc w:val="both"/>
        <w:rPr>
          <w:highlight w:val="yellow"/>
        </w:rPr>
      </w:pPr>
    </w:p>
    <w:p w14:paraId="544DDC77" w14:textId="77777777" w:rsidR="007E7AE9" w:rsidRPr="007C47D5" w:rsidRDefault="007E7AE9" w:rsidP="007E7AE9">
      <w:pPr>
        <w:spacing w:after="160" w:line="259" w:lineRule="auto"/>
        <w:jc w:val="both"/>
        <w:rPr>
          <w:rFonts w:eastAsiaTheme="minorHAnsi"/>
          <w:highlight w:val="yellow"/>
          <w:lang w:eastAsia="en-US"/>
        </w:rPr>
      </w:pPr>
    </w:p>
    <w:p w14:paraId="4A0FA4F6" w14:textId="77777777" w:rsidR="007E7AE9" w:rsidRPr="00A000F0" w:rsidRDefault="007E7AE9" w:rsidP="007E7AE9">
      <w:pPr>
        <w:pStyle w:val="Nadpis1"/>
      </w:pPr>
      <w:r w:rsidRPr="00A000F0">
        <w:lastRenderedPageBreak/>
        <w:t>Finanční prostředky na podpůrná opatření</w:t>
      </w:r>
    </w:p>
    <w:p w14:paraId="55384224" w14:textId="77777777" w:rsidR="007E7AE9" w:rsidRPr="00A000F0" w:rsidRDefault="007E7AE9" w:rsidP="007E7AE9"/>
    <w:p w14:paraId="6A4E3192" w14:textId="55EF8E21" w:rsidR="007E7AE9" w:rsidRPr="00A000F0" w:rsidRDefault="007E7AE9" w:rsidP="007E7AE9">
      <w:pPr>
        <w:jc w:val="both"/>
      </w:pPr>
      <w:r w:rsidRPr="00A000F0">
        <w:t>Součástí rozpisu rozpočtu jsou finanční prostředky na podpůrná opatření vykázaná v roce 202</w:t>
      </w:r>
      <w:r w:rsidR="00A000F0" w:rsidRPr="00A000F0">
        <w:t>4</w:t>
      </w:r>
      <w:r w:rsidRPr="00A000F0">
        <w:t xml:space="preserve"> jednotlivými krajskými a obecními školami a školskými zařízeními v kraji, a to ve výkazu </w:t>
      </w:r>
      <w:r w:rsidRPr="00A000F0">
        <w:br/>
        <w:t>R 43-01 a dále pak ve výkazu R 44-99 za měsíce září až prosinec 202</w:t>
      </w:r>
      <w:r w:rsidR="00A000F0" w:rsidRPr="00A000F0">
        <w:t>4</w:t>
      </w:r>
      <w:r w:rsidRPr="00A000F0">
        <w:t>, u nichž je vykázáno datum začátku poskytování po 30. 9. 202</w:t>
      </w:r>
      <w:r w:rsidR="00A000F0" w:rsidRPr="00A000F0">
        <w:t>4</w:t>
      </w:r>
      <w:r w:rsidRPr="00A000F0">
        <w:t xml:space="preserve"> nebo datum ukončení poskytování po 30. 9. 202</w:t>
      </w:r>
      <w:r w:rsidR="00A000F0" w:rsidRPr="00A000F0">
        <w:t>4</w:t>
      </w:r>
      <w:r w:rsidRPr="00A000F0">
        <w:t xml:space="preserve"> </w:t>
      </w:r>
      <w:r w:rsidRPr="00A000F0">
        <w:br/>
        <w:t xml:space="preserve">a je zvýšen o objem finančních prostředků na podpůrná opatření uvedená v části B přílohy </w:t>
      </w:r>
      <w:r w:rsidRPr="00A000F0">
        <w:br/>
        <w:t>č. 1 vyhlášky č. 27/2016 Sb., ve znění pozdějších předpisů, stanovený podle skutečně vykázaného počtu podpůrných opatření v měsíci prosinci 202</w:t>
      </w:r>
      <w:r w:rsidR="00A000F0" w:rsidRPr="00A000F0">
        <w:t>4</w:t>
      </w:r>
      <w:r w:rsidRPr="00A000F0">
        <w:t xml:space="preserve"> ve výkazu R 44-99 za krajské, obecní a svazkové školy a školská zařízení v jednotlivých krajích.</w:t>
      </w:r>
    </w:p>
    <w:p w14:paraId="54D0ADB7" w14:textId="77777777" w:rsidR="007E7AE9" w:rsidRPr="007C47D5" w:rsidRDefault="007E7AE9" w:rsidP="007E7AE9">
      <w:pPr>
        <w:jc w:val="both"/>
        <w:rPr>
          <w:highlight w:val="yellow"/>
        </w:rPr>
      </w:pPr>
    </w:p>
    <w:p w14:paraId="64A53319" w14:textId="04BB68D0" w:rsidR="007E7AE9" w:rsidRPr="00620416" w:rsidRDefault="007E7AE9" w:rsidP="007E7AE9">
      <w:pPr>
        <w:jc w:val="both"/>
      </w:pPr>
      <w:r w:rsidRPr="00620416">
        <w:rPr>
          <w:b/>
          <w:sz w:val="20"/>
          <w:szCs w:val="20"/>
        </w:rPr>
        <w:t>Finanční prostředky na podpůrná opatření pro rok 202</w:t>
      </w:r>
      <w:r w:rsidR="00620416" w:rsidRPr="00620416">
        <w:rPr>
          <w:b/>
          <w:sz w:val="20"/>
          <w:szCs w:val="20"/>
        </w:rPr>
        <w:t>5</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2693"/>
        <w:gridCol w:w="1843"/>
      </w:tblGrid>
      <w:tr w:rsidR="002F2B41" w:rsidRPr="00620416" w14:paraId="126B2B39" w14:textId="77777777" w:rsidTr="002F2B41">
        <w:trPr>
          <w:trHeight w:val="551"/>
        </w:trPr>
        <w:tc>
          <w:tcPr>
            <w:tcW w:w="2977" w:type="dxa"/>
            <w:shd w:val="clear" w:color="auto" w:fill="auto"/>
            <w:vAlign w:val="center"/>
            <w:hideMark/>
          </w:tcPr>
          <w:p w14:paraId="30A63C52" w14:textId="77777777" w:rsidR="002F2B41" w:rsidRPr="00620416" w:rsidRDefault="002F2B41" w:rsidP="002457B8">
            <w:pPr>
              <w:jc w:val="center"/>
              <w:rPr>
                <w:b/>
                <w:bCs/>
                <w:color w:val="000000"/>
                <w:sz w:val="20"/>
                <w:szCs w:val="20"/>
              </w:rPr>
            </w:pPr>
            <w:r w:rsidRPr="00620416">
              <w:rPr>
                <w:b/>
                <w:bCs/>
                <w:color w:val="000000"/>
                <w:sz w:val="20"/>
                <w:szCs w:val="20"/>
              </w:rPr>
              <w:t>NIV celkem v Kč</w:t>
            </w:r>
          </w:p>
        </w:tc>
        <w:tc>
          <w:tcPr>
            <w:tcW w:w="2693" w:type="dxa"/>
            <w:shd w:val="clear" w:color="auto" w:fill="auto"/>
            <w:vAlign w:val="center"/>
            <w:hideMark/>
          </w:tcPr>
          <w:p w14:paraId="7464E164" w14:textId="77777777" w:rsidR="002F2B41" w:rsidRPr="00620416" w:rsidRDefault="002F2B41" w:rsidP="002457B8">
            <w:pPr>
              <w:jc w:val="center"/>
              <w:rPr>
                <w:b/>
                <w:bCs/>
                <w:color w:val="000000"/>
                <w:sz w:val="20"/>
                <w:szCs w:val="20"/>
              </w:rPr>
            </w:pPr>
            <w:r w:rsidRPr="00620416">
              <w:rPr>
                <w:b/>
                <w:bCs/>
                <w:color w:val="000000"/>
                <w:sz w:val="20"/>
                <w:szCs w:val="20"/>
              </w:rPr>
              <w:t>Prostředky na platy v Kč</w:t>
            </w:r>
          </w:p>
        </w:tc>
        <w:tc>
          <w:tcPr>
            <w:tcW w:w="1843" w:type="dxa"/>
            <w:shd w:val="clear" w:color="auto" w:fill="auto"/>
            <w:vAlign w:val="center"/>
            <w:hideMark/>
          </w:tcPr>
          <w:p w14:paraId="5D279DBB" w14:textId="77777777" w:rsidR="002F2B41" w:rsidRPr="00620416" w:rsidRDefault="002F2B41" w:rsidP="002457B8">
            <w:pPr>
              <w:jc w:val="center"/>
              <w:rPr>
                <w:b/>
                <w:bCs/>
                <w:color w:val="000000"/>
                <w:sz w:val="20"/>
                <w:szCs w:val="20"/>
              </w:rPr>
            </w:pPr>
            <w:r w:rsidRPr="00620416">
              <w:rPr>
                <w:b/>
                <w:bCs/>
                <w:color w:val="000000"/>
                <w:sz w:val="20"/>
                <w:szCs w:val="20"/>
              </w:rPr>
              <w:t>ONIV v Kč</w:t>
            </w:r>
          </w:p>
        </w:tc>
      </w:tr>
      <w:tr w:rsidR="002F2B41" w:rsidRPr="007C47D5" w14:paraId="04BBC33F" w14:textId="77777777" w:rsidTr="002F2B41">
        <w:trPr>
          <w:trHeight w:val="300"/>
        </w:trPr>
        <w:tc>
          <w:tcPr>
            <w:tcW w:w="2977" w:type="dxa"/>
            <w:shd w:val="clear" w:color="auto" w:fill="auto"/>
            <w:noWrap/>
            <w:vAlign w:val="bottom"/>
          </w:tcPr>
          <w:p w14:paraId="3465E008" w14:textId="10D408E6" w:rsidR="002F2B41" w:rsidRPr="00620416" w:rsidRDefault="006B3F61" w:rsidP="002457B8">
            <w:pPr>
              <w:jc w:val="right"/>
              <w:rPr>
                <w:color w:val="000000"/>
                <w:sz w:val="20"/>
                <w:szCs w:val="20"/>
              </w:rPr>
            </w:pPr>
            <w:r w:rsidRPr="006B3F61">
              <w:rPr>
                <w:color w:val="000000"/>
                <w:sz w:val="20"/>
                <w:szCs w:val="20"/>
              </w:rPr>
              <w:t>448 879 428,00</w:t>
            </w:r>
          </w:p>
        </w:tc>
        <w:tc>
          <w:tcPr>
            <w:tcW w:w="2693" w:type="dxa"/>
            <w:shd w:val="clear" w:color="auto" w:fill="auto"/>
            <w:noWrap/>
            <w:vAlign w:val="bottom"/>
          </w:tcPr>
          <w:p w14:paraId="435060D5" w14:textId="7E5D37D6" w:rsidR="002F2B41" w:rsidRPr="00620416" w:rsidRDefault="006B3F61" w:rsidP="002457B8">
            <w:pPr>
              <w:jc w:val="right"/>
              <w:rPr>
                <w:color w:val="000000"/>
                <w:sz w:val="20"/>
                <w:szCs w:val="20"/>
              </w:rPr>
            </w:pPr>
            <w:r w:rsidRPr="006B3F61">
              <w:rPr>
                <w:color w:val="000000"/>
                <w:sz w:val="20"/>
                <w:szCs w:val="20"/>
              </w:rPr>
              <w:t>332 917 296,00</w:t>
            </w:r>
          </w:p>
        </w:tc>
        <w:tc>
          <w:tcPr>
            <w:tcW w:w="1843" w:type="dxa"/>
            <w:shd w:val="clear" w:color="auto" w:fill="auto"/>
            <w:noWrap/>
            <w:vAlign w:val="bottom"/>
          </w:tcPr>
          <w:p w14:paraId="7D9FA19E" w14:textId="464E6C66" w:rsidR="002F2B41" w:rsidRPr="00620416" w:rsidRDefault="006B3F61" w:rsidP="002457B8">
            <w:pPr>
              <w:jc w:val="right"/>
              <w:rPr>
                <w:color w:val="000000"/>
                <w:sz w:val="20"/>
                <w:szCs w:val="20"/>
              </w:rPr>
            </w:pPr>
            <w:r w:rsidRPr="006B3F61">
              <w:rPr>
                <w:color w:val="000000"/>
                <w:sz w:val="20"/>
                <w:szCs w:val="20"/>
              </w:rPr>
              <w:t>107 300,00</w:t>
            </w:r>
          </w:p>
        </w:tc>
      </w:tr>
    </w:tbl>
    <w:p w14:paraId="323DEBC7" w14:textId="77777777" w:rsidR="007E7AE9" w:rsidRPr="007C47D5" w:rsidRDefault="007E7AE9" w:rsidP="007E7AE9">
      <w:pPr>
        <w:jc w:val="both"/>
        <w:rPr>
          <w:highlight w:val="yellow"/>
        </w:rPr>
      </w:pPr>
    </w:p>
    <w:p w14:paraId="0C8B0B5C" w14:textId="77777777" w:rsidR="007E7AE9" w:rsidRPr="00F7058E" w:rsidRDefault="007E7AE9" w:rsidP="007E7AE9">
      <w:pPr>
        <w:jc w:val="both"/>
        <w:rPr>
          <w:strike/>
        </w:rPr>
      </w:pPr>
    </w:p>
    <w:p w14:paraId="4D3F88A3" w14:textId="77777777" w:rsidR="007E7AE9" w:rsidRPr="00F7058E" w:rsidRDefault="007E7AE9" w:rsidP="007E7AE9">
      <w:pPr>
        <w:pStyle w:val="Nadpis1"/>
      </w:pPr>
      <w:r w:rsidRPr="00F7058E">
        <w:t>Rozpis rozpočtu na jednotlivé právnické osoby vykonávající činnost škol a školských zařízení</w:t>
      </w:r>
    </w:p>
    <w:p w14:paraId="1969A23E" w14:textId="77777777" w:rsidR="007E7AE9" w:rsidRPr="00F7058E" w:rsidRDefault="007E7AE9" w:rsidP="007E7AE9"/>
    <w:p w14:paraId="0481F3E0" w14:textId="2895E6A7" w:rsidR="007E7AE9" w:rsidRPr="00F7058E" w:rsidRDefault="007E7AE9" w:rsidP="007E7AE9">
      <w:pPr>
        <w:jc w:val="both"/>
      </w:pPr>
      <w:r w:rsidRPr="00F7058E">
        <w:t xml:space="preserve">Principy a postupy rozpisu přímých výdajů pro právnické osoby vykonávající činnost škol </w:t>
      </w:r>
      <w:r w:rsidRPr="00F7058E">
        <w:br/>
        <w:t>a školských zařízení zřizované krajem a obcemi upravuje Směrnice, č.j. MSMT-1</w:t>
      </w:r>
      <w:r w:rsidR="00255376" w:rsidRPr="00F7058E">
        <w:t>2077</w:t>
      </w:r>
      <w:r w:rsidRPr="00F7058E">
        <w:t>/20</w:t>
      </w:r>
      <w:r w:rsidR="00255376" w:rsidRPr="00F7058E">
        <w:t>24</w:t>
      </w:r>
      <w:r w:rsidRPr="00F7058E">
        <w:t xml:space="preserve"> </w:t>
      </w:r>
      <w:r w:rsidRPr="00F7058E">
        <w:br/>
        <w:t>o závazných zásadách pro rozpisy a návrhy rozpisů finančních prostředků státního rozpočtu krajskými úřady a obecními úřady obcí s rozšířenou působností v</w:t>
      </w:r>
      <w:r w:rsidR="00733021" w:rsidRPr="00F7058E">
        <w:t xml:space="preserve"> platném</w:t>
      </w:r>
      <w:r w:rsidRPr="00F7058E">
        <w:t xml:space="preserve"> znění.</w:t>
      </w:r>
    </w:p>
    <w:p w14:paraId="08759991" w14:textId="77777777" w:rsidR="007E7AE9" w:rsidRPr="00F7058E" w:rsidRDefault="007E7AE9" w:rsidP="007E7AE9">
      <w:pPr>
        <w:jc w:val="both"/>
        <w:rPr>
          <w:strike/>
        </w:rPr>
      </w:pPr>
    </w:p>
    <w:p w14:paraId="22910434" w14:textId="1C90E2EA" w:rsidR="007E7AE9" w:rsidRPr="00F7058E" w:rsidRDefault="007E7AE9" w:rsidP="007E7AE9">
      <w:pPr>
        <w:jc w:val="both"/>
      </w:pPr>
      <w:r w:rsidRPr="00F7058E">
        <w:t xml:space="preserve">V rámci přípravy rozpisu přímých výdajů je ověřováno krajským úřadem a obecními úřady </w:t>
      </w:r>
      <w:r w:rsidRPr="00F7058E">
        <w:br/>
        <w:t xml:space="preserve">s rozšířenou působností, zda nedošlo k významným rozdílům mezi skutečností ke dni </w:t>
      </w:r>
      <w:r w:rsidRPr="00F7058E">
        <w:br/>
        <w:t>1. ledna 202</w:t>
      </w:r>
      <w:r w:rsidR="00255376" w:rsidRPr="00F7058E">
        <w:t>5</w:t>
      </w:r>
      <w:r w:rsidRPr="00F7058E">
        <w:t xml:space="preserve"> a vykázanými jednotkami rozhodnými pro rozpis finančních prostředků, a to </w:t>
      </w:r>
      <w:r w:rsidRPr="00F7058E">
        <w:br/>
        <w:t xml:space="preserve">ve struktuře prostředků na platy, na ostatní neinvestiční výdaje a limit počtu zaměstnanců </w:t>
      </w:r>
      <w:r w:rsidRPr="00F7058E">
        <w:br/>
        <w:t xml:space="preserve">dle jednotlivých součástí. Předmětem ověřování jsou pouze změny považované </w:t>
      </w:r>
      <w:r w:rsidR="00733021" w:rsidRPr="00F7058E">
        <w:t>S</w:t>
      </w:r>
      <w:r w:rsidRPr="00F7058E">
        <w:t xml:space="preserve">měrnicí </w:t>
      </w:r>
      <w:r w:rsidRPr="00F7058E">
        <w:br/>
        <w:t xml:space="preserve">za významné, tj. ty, které podstatným způsobem příspěvkovou organizaci zvýhodní </w:t>
      </w:r>
      <w:r w:rsidRPr="00F7058E">
        <w:br/>
        <w:t xml:space="preserve">nebo znevýhodní. </w:t>
      </w:r>
    </w:p>
    <w:p w14:paraId="305AFF08" w14:textId="77777777" w:rsidR="007E7AE9" w:rsidRPr="00F7058E" w:rsidRDefault="007E7AE9" w:rsidP="007E7AE9">
      <w:pPr>
        <w:jc w:val="both"/>
        <w:rPr>
          <w:strike/>
        </w:rPr>
      </w:pPr>
    </w:p>
    <w:p w14:paraId="2DF69BF7" w14:textId="363B4A16" w:rsidR="007E7AE9" w:rsidRPr="00F7058E" w:rsidRDefault="007E7AE9" w:rsidP="007E7AE9">
      <w:pPr>
        <w:jc w:val="both"/>
      </w:pPr>
      <w:r w:rsidRPr="00F7058E">
        <w:t xml:space="preserve">Vlastní rozpis přímých výdajů zahrnuje roční objem finančních prostředků a limit počtu zaměstnanců stanovený Ministerstvem školství, mládeže a tělovýchovy v souladu s § 161 odst. 3 školského zákona, dále normativní rozpis rozpočtu stanovený na základě krajských normativů a v neposlední řadě obsahuje změny rozpočtu plynoucí z dopadu významných rozdílů </w:t>
      </w:r>
      <w:r w:rsidRPr="00F7058E">
        <w:br/>
        <w:t>mezi skutečností k 1. lednu 202</w:t>
      </w:r>
      <w:r w:rsidR="00255376" w:rsidRPr="00F7058E">
        <w:t>5</w:t>
      </w:r>
      <w:r w:rsidRPr="00F7058E">
        <w:t xml:space="preserve"> a vykázanými údaji rozhodnými pro rozpis rozpočtu. </w:t>
      </w:r>
    </w:p>
    <w:p w14:paraId="68CA2633" w14:textId="77777777" w:rsidR="007E7AE9" w:rsidRPr="00F7058E" w:rsidRDefault="007E7AE9" w:rsidP="007E7AE9">
      <w:pPr>
        <w:jc w:val="both"/>
        <w:rPr>
          <w:strike/>
        </w:rPr>
      </w:pPr>
    </w:p>
    <w:p w14:paraId="2E2859B4" w14:textId="77777777" w:rsidR="007E7AE9" w:rsidRPr="00F7058E" w:rsidRDefault="007E7AE9" w:rsidP="007E7AE9">
      <w:pPr>
        <w:jc w:val="both"/>
      </w:pPr>
      <w:r w:rsidRPr="00F7058E">
        <w:t>V souladu se Směrnicí budou při rozpisu rozpočtu na vrub nebo ve prospěch rezervy zohledněny následující skutečnosti:</w:t>
      </w:r>
    </w:p>
    <w:p w14:paraId="5D062CCC" w14:textId="77777777" w:rsidR="007E7AE9" w:rsidRPr="00F7058E" w:rsidRDefault="007E7AE9" w:rsidP="007E7AE9">
      <w:pPr>
        <w:pStyle w:val="Seznamsodrkami"/>
      </w:pPr>
      <w:r w:rsidRPr="00F7058E">
        <w:t xml:space="preserve">vzešlé ze zjištěných významných rozdílů definovaných v čl. II Směrnice při procesu přípravy rozpisu přímých výdajů, </w:t>
      </w:r>
    </w:p>
    <w:p w14:paraId="50F18937" w14:textId="77777777" w:rsidR="007E7AE9" w:rsidRPr="00F7058E" w:rsidRDefault="007E7AE9" w:rsidP="007E7AE9">
      <w:pPr>
        <w:pStyle w:val="Seznamsodrkami"/>
      </w:pPr>
      <w:r w:rsidRPr="00F7058E">
        <w:t xml:space="preserve">poskytování kurzu základního vzdělávání,  </w:t>
      </w:r>
    </w:p>
    <w:p w14:paraId="5D29ED87" w14:textId="630E06B3" w:rsidR="007E7AE9" w:rsidRPr="00F7058E" w:rsidRDefault="007E7AE9" w:rsidP="007E7AE9">
      <w:pPr>
        <w:pStyle w:val="Seznamsodrkami"/>
      </w:pPr>
      <w:r w:rsidRPr="00F7058E">
        <w:t xml:space="preserve">přesun z ONIV do platů a to, pokud škola realizuje rámcový vzdělávací program, jehož součástí je příprava k získání řidičského nebo svářečského oprávnění, jejíž praktickou část škola zajišťuje vlastními zaměstnanci a vykázala rozsah dotčené činnosti </w:t>
      </w:r>
      <w:r w:rsidRPr="00F7058E">
        <w:br/>
        <w:t>v příslušném oddílu výkazu P1c-01 ke dni 30. 9. 202</w:t>
      </w:r>
      <w:r w:rsidR="00255376" w:rsidRPr="00F7058E">
        <w:t>4</w:t>
      </w:r>
      <w:r w:rsidRPr="00F7058E">
        <w:t>,</w:t>
      </w:r>
    </w:p>
    <w:p w14:paraId="2C8A391F" w14:textId="79228AB4" w:rsidR="007E7AE9" w:rsidRPr="00F7058E" w:rsidRDefault="007E7AE9" w:rsidP="007E7AE9">
      <w:pPr>
        <w:pStyle w:val="Seznamsodrkami"/>
      </w:pPr>
      <w:r w:rsidRPr="00F7058E">
        <w:t xml:space="preserve">zvýšení prostředků na ostatní osobní náklady (OON), a to maximálně do výše </w:t>
      </w:r>
      <w:proofErr w:type="spellStart"/>
      <w:r w:rsidRPr="00F7058E">
        <w:t>PHmax</w:t>
      </w:r>
      <w:proofErr w:type="spellEnd"/>
      <w:r w:rsidRPr="00F7058E">
        <w:t xml:space="preserve"> nebo </w:t>
      </w:r>
      <w:proofErr w:type="spellStart"/>
      <w:r w:rsidRPr="00F7058E">
        <w:t>PHAmax</w:t>
      </w:r>
      <w:proofErr w:type="spellEnd"/>
      <w:r w:rsidRPr="00F7058E">
        <w:t xml:space="preserve">, pokud je povinný rozsah vzdělávání trvale zajišťovaný pedagogickými </w:t>
      </w:r>
      <w:r w:rsidRPr="00F7058E">
        <w:lastRenderedPageBreak/>
        <w:t>pracovníky na základě dohod o pracích konaných mimo pracovní poměr, pokud bylo vykázáno v P1c-01, oddíl VIII ke dni 30. 9. 202</w:t>
      </w:r>
      <w:r w:rsidR="00255376" w:rsidRPr="00F7058E">
        <w:t>4</w:t>
      </w:r>
      <w:r w:rsidRPr="00F7058E">
        <w:t>,</w:t>
      </w:r>
    </w:p>
    <w:p w14:paraId="4DBE3560" w14:textId="77777777" w:rsidR="007E7AE9" w:rsidRPr="00F7058E" w:rsidRDefault="007E7AE9" w:rsidP="007E7AE9">
      <w:pPr>
        <w:pStyle w:val="Seznamsodrkami"/>
      </w:pPr>
      <w:r w:rsidRPr="00F7058E">
        <w:t>vzdělávání dětí s hlubokým mentálním postižením, pokud škola v souladu s rozhodnutím krajského úřadu podle § 42 školského zákona zajišťuje vzdělávání dítěte s hlubokým mentálním postižením, jedná se o dítě, které není žákem školy, (tyto úvazky nesmí být vykázány ve výkazu P1c-01),</w:t>
      </w:r>
    </w:p>
    <w:p w14:paraId="151278EC" w14:textId="461375E7" w:rsidR="007E7AE9" w:rsidRDefault="007E7AE9" w:rsidP="007E7AE9">
      <w:pPr>
        <w:pStyle w:val="Seznamsodrkami"/>
      </w:pPr>
      <w:r w:rsidRPr="00F7058E">
        <w:t>finanční prostředky na podpůrná opatření vykázaná v roce 202</w:t>
      </w:r>
      <w:r w:rsidR="00255376" w:rsidRPr="00F7058E">
        <w:t>4</w:t>
      </w:r>
      <w:r w:rsidRPr="00F7058E">
        <w:t xml:space="preserve"> jednotlivými krajskými a obecními školami a školskými zařízeními v kraji, a to ve výkazu R 43-01 a dále pak </w:t>
      </w:r>
      <w:r w:rsidRPr="00F7058E">
        <w:br/>
        <w:t>ve výkazu R 44-99 za měsíce září až prosinec 202</w:t>
      </w:r>
      <w:r w:rsidR="00255376" w:rsidRPr="00F7058E">
        <w:t>4</w:t>
      </w:r>
      <w:r w:rsidRPr="00F7058E">
        <w:t>, která tedy budou realizována i v roce 202</w:t>
      </w:r>
      <w:r w:rsidR="00F7058E" w:rsidRPr="00F7058E">
        <w:t>5</w:t>
      </w:r>
      <w:r w:rsidRPr="00F7058E">
        <w:t xml:space="preserve"> a sběr za měsíce leden </w:t>
      </w:r>
      <w:r w:rsidR="00F7058E" w:rsidRPr="00F7058E">
        <w:t>a</w:t>
      </w:r>
      <w:r w:rsidRPr="00F7058E">
        <w:t xml:space="preserve"> únor 202</w:t>
      </w:r>
      <w:r w:rsidR="00255376" w:rsidRPr="00F7058E">
        <w:t>5</w:t>
      </w:r>
      <w:r w:rsidRPr="00F7058E">
        <w:t>,</w:t>
      </w:r>
    </w:p>
    <w:p w14:paraId="72BE1129" w14:textId="18F5F4F5" w:rsidR="00261B2D" w:rsidRPr="00F7058E" w:rsidRDefault="0084464D" w:rsidP="00D07B03">
      <w:pPr>
        <w:pStyle w:val="Seznamsodrkami"/>
      </w:pPr>
      <w:r>
        <w:t xml:space="preserve">finanční prostředky </w:t>
      </w:r>
      <w:r w:rsidR="000C34C1">
        <w:t xml:space="preserve">k poskytování bezplatné jazykové přípravy </w:t>
      </w:r>
      <w:r w:rsidR="001B0F4C">
        <w:t xml:space="preserve">žákům cizincům </w:t>
      </w:r>
      <w:r w:rsidR="00D07B03">
        <w:t xml:space="preserve">v základním a středním vzdělávání, </w:t>
      </w:r>
    </w:p>
    <w:p w14:paraId="00B5AF6F" w14:textId="48DB7468" w:rsidR="007E7AE9" w:rsidRPr="00F7058E" w:rsidRDefault="007E7AE9" w:rsidP="007E7AE9">
      <w:pPr>
        <w:pStyle w:val="Seznamsodrkami"/>
      </w:pPr>
      <w:r w:rsidRPr="00F7058E">
        <w:t>navýšení prostředků na platy u samostatných školních jídelen (za základnu je považováno 850 žáků strávníků).</w:t>
      </w:r>
    </w:p>
    <w:p w14:paraId="5517E38E" w14:textId="77777777" w:rsidR="007E7AE9" w:rsidRPr="00F7058E" w:rsidRDefault="007E7AE9" w:rsidP="007E7AE9">
      <w:pPr>
        <w:jc w:val="both"/>
        <w:rPr>
          <w:strike/>
        </w:rPr>
      </w:pPr>
    </w:p>
    <w:p w14:paraId="10819B34" w14:textId="7BFE0761" w:rsidR="007E7AE9" w:rsidRPr="00F7058E" w:rsidRDefault="007E7AE9" w:rsidP="007E7AE9">
      <w:pPr>
        <w:jc w:val="both"/>
      </w:pPr>
      <w:r w:rsidRPr="00F7058E">
        <w:t xml:space="preserve">Považuje-li právnická osoba rozpis přímých výdajů s výjimkou finančních prostředků stanovených MŠMT podle § 161 odst. 3 písm. a) a b) školského zákona </w:t>
      </w:r>
      <w:r w:rsidR="00C1485C" w:rsidRPr="00F7058E">
        <w:t xml:space="preserve">a </w:t>
      </w:r>
      <w:r w:rsidRPr="00F7058E">
        <w:t xml:space="preserve">s výjimkou rozpisu přímých výdajů na podpůrná opatření za nepostačující k zajištění nezbytných potřeb vyplývajících z právních předpisů a rámcových vzdělávacích programů, popřípadě schválených učebních dokumentů, provede si sama porovnání finanční rozvahy o počtu zaměstnanců </w:t>
      </w:r>
      <w:r w:rsidRPr="00F7058E">
        <w:br/>
        <w:t xml:space="preserve">a mzdových prostředcích s rozpisem rozpočtu a předloží návrhy na odstranění disproporcí. Právnické osoby zřizované krajem předloží uvedené podklady s konkretizovanou žádostí </w:t>
      </w:r>
      <w:r w:rsidRPr="00F7058E">
        <w:br/>
        <w:t xml:space="preserve">o projednání OŠMTS a obcemi zřizované právnické osoby činí totéž místně příslušnému obecnímu úřadu s rozšířenou působností (ORP).  </w:t>
      </w:r>
    </w:p>
    <w:p w14:paraId="572BC5F3" w14:textId="77777777" w:rsidR="007E7AE9" w:rsidRPr="00F7058E" w:rsidRDefault="007E7AE9" w:rsidP="007E7AE9">
      <w:pPr>
        <w:jc w:val="both"/>
      </w:pPr>
    </w:p>
    <w:p w14:paraId="4555CDA0" w14:textId="77777777" w:rsidR="007E7AE9" w:rsidRPr="00F7058E" w:rsidRDefault="007E7AE9" w:rsidP="007E7AE9">
      <w:pPr>
        <w:jc w:val="both"/>
      </w:pPr>
      <w:r w:rsidRPr="00F7058E">
        <w:t xml:space="preserve">ORP ověří správnost údajů v žádosti uvedených včetně jejich objektivnosti a porovná finanční rozvahu s rozpisem přímých výdajů. Na základě tohoto porovnání určí příčiny a navrhne konkrétní opatření k odstranění zjištěných disproporcí. ORP předloží projednané a z pohledu objektivnosti posouzené rozvahy jednotlivých organizací porovnané s rozpisem přímých výdajů obsahujícím konkrétní návrhy příslušné pracovnici OŠMTS. Následně bude provedena kontrola porovnání finančních rozvah s rozpisy přímých výdajů a návrhů na odstranění disproporcí. Pokud disproporce přetrvávají, projedná OŠMTS konkrétní opatření a postup jejich odstranění s příslušnou ORP. Následně ORP na jeho základě projednají konkrétní opatření a postupy jejich odstranění s organizacemi a o výsledku tohoto procesu krajský úřad informují. Na základě výsledků projednání OŠMTS provede úpravu rozpisu přímých výdajů jednotlivým organizacím nebo ho beze změny potvrdí. </w:t>
      </w:r>
    </w:p>
    <w:p w14:paraId="07BE3E82" w14:textId="77777777" w:rsidR="007E7AE9" w:rsidRPr="00F7058E" w:rsidRDefault="007E7AE9" w:rsidP="007E7AE9">
      <w:pPr>
        <w:jc w:val="both"/>
      </w:pPr>
    </w:p>
    <w:p w14:paraId="2870AA5D" w14:textId="77777777" w:rsidR="007E7AE9" w:rsidRPr="00F7058E" w:rsidRDefault="007E7AE9" w:rsidP="007E7AE9">
      <w:pPr>
        <w:jc w:val="both"/>
      </w:pPr>
      <w:r w:rsidRPr="00F7058E">
        <w:t>O projednání rozpisu přímých výdajů a jeho výsledcích zpracuje OŠMTS ve spolupráci s ORP protokol, s jehož závěry prokazatelným způsobem seznámí organizaci. V případě, že výsledkem projednání není úprava rozpisu přímých výdajů, uvede krajský úřad v protokolu konkrétní opatření, případně kroky a termíny, které organizaci zajistí srovnání se s celoročním rozpočtem přímých výdajů včetně jednotlivých závazných ukazatelů stanovených na základě krajských normativů.</w:t>
      </w:r>
    </w:p>
    <w:p w14:paraId="054480EA" w14:textId="77777777" w:rsidR="007E7AE9" w:rsidRPr="007C47D5" w:rsidRDefault="007E7AE9" w:rsidP="007E7AE9">
      <w:pPr>
        <w:jc w:val="both"/>
        <w:rPr>
          <w:strike/>
          <w:highlight w:val="yellow"/>
        </w:rPr>
      </w:pPr>
    </w:p>
    <w:p w14:paraId="30123D4B" w14:textId="3086575B" w:rsidR="007E7AE9" w:rsidRPr="00F7058E" w:rsidRDefault="001B194D" w:rsidP="007E7AE9">
      <w:pPr>
        <w:pStyle w:val="Nadpis2"/>
      </w:pPr>
      <w:r w:rsidRPr="00F7058E">
        <w:t>U</w:t>
      </w:r>
      <w:r w:rsidR="007E7AE9" w:rsidRPr="00F7058E">
        <w:t>kazatele rozpočtu</w:t>
      </w:r>
    </w:p>
    <w:p w14:paraId="10EBFB40" w14:textId="514A35CF" w:rsidR="001B194D" w:rsidRPr="00F7058E" w:rsidRDefault="001B194D" w:rsidP="0019428E">
      <w:pPr>
        <w:jc w:val="both"/>
      </w:pPr>
      <w:r w:rsidRPr="00F7058E">
        <w:t xml:space="preserve">Strukturu závazných a orientačních ukazatelů při rozpisu rozpočtu stanovuje </w:t>
      </w:r>
      <w:r w:rsidR="0019428E" w:rsidRPr="00F7058E">
        <w:t xml:space="preserve">směrnice v aktuálně platném znění. </w:t>
      </w:r>
    </w:p>
    <w:p w14:paraId="74F0F7A5" w14:textId="77777777" w:rsidR="002810C8" w:rsidRPr="00F7058E" w:rsidRDefault="002810C8" w:rsidP="0019428E">
      <w:pPr>
        <w:jc w:val="both"/>
      </w:pPr>
    </w:p>
    <w:p w14:paraId="5AE42AB2" w14:textId="6C8EB882" w:rsidR="001B194D" w:rsidRPr="00F7058E" w:rsidRDefault="002810C8" w:rsidP="0019428E">
      <w:pPr>
        <w:jc w:val="both"/>
      </w:pPr>
      <w:r w:rsidRPr="00F7058E">
        <w:t>Přesuny mezi závaznými ukazateli lze provádět jen se souhlasem krajského úřadu, a to v termínech jím stanovených, které se odvozují od termínu stanového MŠMT ČR</w:t>
      </w:r>
      <w:r w:rsidR="0019428E" w:rsidRPr="00F7058E">
        <w:t>.</w:t>
      </w:r>
    </w:p>
    <w:p w14:paraId="27AA057C" w14:textId="77777777" w:rsidR="0019428E" w:rsidRPr="00F7058E" w:rsidRDefault="0019428E" w:rsidP="0019428E">
      <w:pPr>
        <w:jc w:val="both"/>
      </w:pPr>
      <w:r w:rsidRPr="00F7058E">
        <w:lastRenderedPageBreak/>
        <w:t xml:space="preserve">Přesuny mezi orientačními ukazateli lze provádět bez souhlasu krajského úřadu, závazný </w:t>
      </w:r>
      <w:r w:rsidRPr="00F7058E">
        <w:br/>
        <w:t xml:space="preserve">je pro právnickou osobu jejich součet. </w:t>
      </w:r>
    </w:p>
    <w:p w14:paraId="00FEDB11" w14:textId="77777777" w:rsidR="001B194D" w:rsidRPr="00F7058E" w:rsidRDefault="001B194D" w:rsidP="001B194D"/>
    <w:p w14:paraId="5C0DAEE3" w14:textId="77777777" w:rsidR="007E7AE9" w:rsidRPr="00F7058E" w:rsidRDefault="007E7AE9" w:rsidP="007E7AE9">
      <w:pPr>
        <w:jc w:val="both"/>
      </w:pPr>
      <w:r w:rsidRPr="00F7058E">
        <w:t>Finanční prostředky ze státního rozpočtu se poskytují nejvýše do výše povoleného počtu dětí, žáků nebo studentů ve škole nebo školském zařízení, v jednotlivých oborech vzdělání a formách vzdělávání, lůžek, stravovaných nebo jiných jednotek výkonu dle školského rejstříku (v souladu s § 160 odst. 6 školského zákona).</w:t>
      </w:r>
    </w:p>
    <w:p w14:paraId="47386090" w14:textId="77777777" w:rsidR="007E7AE9" w:rsidRPr="007C47D5" w:rsidRDefault="007E7AE9" w:rsidP="007E7AE9">
      <w:pPr>
        <w:pStyle w:val="Seznamsodrkami"/>
        <w:numPr>
          <w:ilvl w:val="0"/>
          <w:numId w:val="0"/>
        </w:numPr>
        <w:ind w:left="568"/>
        <w:rPr>
          <w:highlight w:val="yellow"/>
        </w:rPr>
      </w:pPr>
    </w:p>
    <w:p w14:paraId="3FD4DFC4" w14:textId="77777777" w:rsidR="007E7AE9" w:rsidRPr="007C47D5" w:rsidRDefault="007E7AE9" w:rsidP="007E7AE9">
      <w:pPr>
        <w:jc w:val="both"/>
        <w:rPr>
          <w:strike/>
          <w:highlight w:val="yellow"/>
        </w:rPr>
      </w:pPr>
    </w:p>
    <w:p w14:paraId="64994961" w14:textId="77777777" w:rsidR="007E7AE9" w:rsidRPr="00F7058E" w:rsidRDefault="007E7AE9" w:rsidP="007E7AE9">
      <w:pPr>
        <w:jc w:val="both"/>
        <w:rPr>
          <w:strike/>
        </w:rPr>
      </w:pPr>
    </w:p>
    <w:p w14:paraId="67A0ECA5" w14:textId="77777777" w:rsidR="007E7AE9" w:rsidRPr="00F7058E" w:rsidRDefault="007E7AE9" w:rsidP="007E7AE9">
      <w:pPr>
        <w:pStyle w:val="Nadpis1"/>
      </w:pPr>
      <w:r w:rsidRPr="00F7058E">
        <w:t>Zohlednění změn v organizaci školy a školského zařízení v průběhu kalendářního roku</w:t>
      </w:r>
    </w:p>
    <w:p w14:paraId="23A3710D" w14:textId="77777777" w:rsidR="007E7AE9" w:rsidRPr="00F7058E" w:rsidRDefault="007E7AE9" w:rsidP="007E7AE9">
      <w:pPr>
        <w:jc w:val="both"/>
      </w:pPr>
    </w:p>
    <w:p w14:paraId="5034C3E8" w14:textId="1740037C" w:rsidR="007E7AE9" w:rsidRPr="00F7058E" w:rsidRDefault="007E7AE9" w:rsidP="007E7AE9">
      <w:pPr>
        <w:jc w:val="both"/>
      </w:pPr>
      <w:r w:rsidRPr="00F7058E">
        <w:t>Dle směrnice je krajský úřad na vrub nebo ve prospěch rezervy oprávněn upravit rozpis rozpočtu právnické osoby v průběhu kalendářního roku, pokud v tomto období dojde v důsledku změn ve školském rejstříku nebo změn v souvislosti se zahájením nového školního roku, nebo v důsledku významné změn</w:t>
      </w:r>
      <w:r w:rsidR="00907B39" w:rsidRPr="00F7058E">
        <w:t>y</w:t>
      </w:r>
      <w:r w:rsidRPr="00F7058E">
        <w:t xml:space="preserve"> jednotek rozhodných pro rozpis rozpočtu přímých výdajů nebo v důsledku jiné významné skutečnosti přímo vyplývající z pracovněprávního vztahu uvedených zaměstnanců, která by právnickou osobu podstatným způsobem neoprávněně zvýhodnila nebo znevýhodnila.</w:t>
      </w:r>
    </w:p>
    <w:p w14:paraId="134C805D" w14:textId="77777777" w:rsidR="007E7AE9" w:rsidRPr="00F7058E" w:rsidRDefault="007E7AE9" w:rsidP="007E7AE9">
      <w:pPr>
        <w:jc w:val="both"/>
        <w:rPr>
          <w:strike/>
        </w:rPr>
      </w:pPr>
    </w:p>
    <w:p w14:paraId="78E52488" w14:textId="77777777" w:rsidR="007E7AE9" w:rsidRPr="00F7058E" w:rsidRDefault="007E7AE9" w:rsidP="007E7AE9">
      <w:pPr>
        <w:jc w:val="both"/>
      </w:pPr>
    </w:p>
    <w:p w14:paraId="09B770D1" w14:textId="77777777" w:rsidR="007E7AE9" w:rsidRPr="00F7058E" w:rsidRDefault="007E7AE9" w:rsidP="007E7AE9">
      <w:pPr>
        <w:pStyle w:val="Nadpis1"/>
      </w:pPr>
      <w:r w:rsidRPr="00F7058E">
        <w:t>Podpůrná opatření</w:t>
      </w:r>
    </w:p>
    <w:p w14:paraId="5D6FBBB2" w14:textId="77777777" w:rsidR="007E7AE9" w:rsidRPr="00F7058E" w:rsidRDefault="007E7AE9" w:rsidP="007E7AE9"/>
    <w:p w14:paraId="2280773B" w14:textId="77777777" w:rsidR="007E7AE9" w:rsidRPr="00F7058E" w:rsidRDefault="007E7AE9" w:rsidP="007E7AE9">
      <w:pPr>
        <w:pStyle w:val="Seznamsodrkami"/>
        <w:numPr>
          <w:ilvl w:val="0"/>
          <w:numId w:val="0"/>
        </w:numPr>
      </w:pPr>
      <w:r w:rsidRPr="00F7058E">
        <w:t xml:space="preserve">V případech poskytování podpůrných opatření (dále PO) bude úprava rozpočtu prováděna bezodkladně, nejpozději do 60 dnů ode dne, kdy právnická osoba předala elektronicky údaje </w:t>
      </w:r>
      <w:r w:rsidRPr="00F7058E">
        <w:br/>
        <w:t>ve výkaze R44-99:</w:t>
      </w:r>
    </w:p>
    <w:p w14:paraId="356AC490" w14:textId="77777777" w:rsidR="007E7AE9" w:rsidRPr="00F7058E" w:rsidRDefault="007E7AE9" w:rsidP="007E7AE9">
      <w:pPr>
        <w:pStyle w:val="Seznamsodrkami"/>
        <w:numPr>
          <w:ilvl w:val="0"/>
          <w:numId w:val="0"/>
        </w:numPr>
        <w:ind w:left="284"/>
        <w:rPr>
          <w:b/>
        </w:rPr>
      </w:pPr>
    </w:p>
    <w:p w14:paraId="5C038FA5" w14:textId="77777777" w:rsidR="007E7AE9" w:rsidRPr="00F7058E" w:rsidRDefault="007E7AE9" w:rsidP="007E7AE9">
      <w:pPr>
        <w:pStyle w:val="Seznamsodrkami"/>
      </w:pPr>
      <w:r w:rsidRPr="00F7058E">
        <w:t xml:space="preserve">pokud se jedná o kompenzační pomůcky, speciální učebnice nebo speciální učební pomůcky ve výši uvedené v příloze 1 část B vyhlášky 27/2016 Sb., o vzdělávání žáků </w:t>
      </w:r>
      <w:r w:rsidRPr="00F7058E">
        <w:br/>
        <w:t>se speciálními vzdělávacími potřebami a žáků nadaných v platném znění;</w:t>
      </w:r>
    </w:p>
    <w:p w14:paraId="0FAA83C9" w14:textId="77777777" w:rsidR="007E7AE9" w:rsidRPr="00F7058E" w:rsidRDefault="007E7AE9" w:rsidP="007E7AE9">
      <w:pPr>
        <w:pStyle w:val="Seznamsodrkami"/>
      </w:pPr>
      <w:r w:rsidRPr="00F7058E">
        <w:t xml:space="preserve">pokud se jedná o personální podporu ve výši příslušného počtu dvanáctin (měsíců) </w:t>
      </w:r>
      <w:r w:rsidRPr="00F7058E">
        <w:br/>
        <w:t xml:space="preserve">z hodnoty uvedené v příloze 1 část A vyhlášky 27/2016 Sb., o vzdělávání žáků </w:t>
      </w:r>
      <w:r w:rsidRPr="00F7058E">
        <w:br/>
        <w:t>se speciálními vzdělávacími potřebami a žáků nadaných v platném znění. Jako první měsíc podpory se započítá měsíc bezprostředně následující po datu, kdy právnická osoba předala elektronicky údaje o změnách.</w:t>
      </w:r>
    </w:p>
    <w:p w14:paraId="1B8E7D81" w14:textId="77777777" w:rsidR="007E7AE9" w:rsidRPr="00F7058E" w:rsidRDefault="007E7AE9" w:rsidP="007E7AE9">
      <w:pPr>
        <w:pStyle w:val="Seznamsodrkami"/>
        <w:numPr>
          <w:ilvl w:val="0"/>
          <w:numId w:val="0"/>
        </w:numPr>
        <w:ind w:left="568"/>
      </w:pPr>
    </w:p>
    <w:p w14:paraId="44717C47" w14:textId="77777777" w:rsidR="007E7AE9" w:rsidRPr="00F7058E" w:rsidRDefault="007E7AE9" w:rsidP="007E7AE9">
      <w:pPr>
        <w:pStyle w:val="Seznamsodrkami"/>
        <w:numPr>
          <w:ilvl w:val="0"/>
          <w:numId w:val="0"/>
        </w:numPr>
        <w:ind w:left="284"/>
      </w:pPr>
      <w:r w:rsidRPr="00F7058E">
        <w:t>V případě ukončení PO personálního charakteru bude rozpočet právnické osoby o příslušný počet dvanáctin opět snížen.</w:t>
      </w:r>
    </w:p>
    <w:p w14:paraId="50B99565" w14:textId="77777777" w:rsidR="007E7AE9" w:rsidRPr="00F7058E" w:rsidRDefault="007E7AE9" w:rsidP="007E7AE9">
      <w:pPr>
        <w:pStyle w:val="Seznamsodrkami"/>
        <w:numPr>
          <w:ilvl w:val="0"/>
          <w:numId w:val="0"/>
        </w:numPr>
        <w:ind w:left="284"/>
      </w:pPr>
    </w:p>
    <w:p w14:paraId="7AA52937" w14:textId="12EBC277" w:rsidR="007E7AE9" w:rsidRPr="006C02AC" w:rsidRDefault="007E7AE9" w:rsidP="007E7AE9">
      <w:pPr>
        <w:jc w:val="both"/>
      </w:pPr>
      <w:r w:rsidRPr="00F7058E">
        <w:t xml:space="preserve">Upozorňujeme na skutečnost, že personální PO nelze financovat zpětně. Pokud právnická osoba </w:t>
      </w:r>
      <w:r w:rsidRPr="006C02AC">
        <w:t>ukončí se zpětnou platností PO, na které byly požadovány finanční prostředky, tj. zadá ukončení s datem do minulosti, musí požádat OŠMTS o tzv. korekci podpůrného opatření, tj. odebrání finančních prostředků za měsíce, kdy</w:t>
      </w:r>
      <w:r w:rsidR="00C438CB" w:rsidRPr="006C02AC">
        <w:t>,</w:t>
      </w:r>
      <w:r w:rsidRPr="006C02AC">
        <w:t xml:space="preserve"> již nemělo být PO poskytováno. Pokud takto neučiní </w:t>
      </w:r>
      <w:r w:rsidRPr="006C02AC">
        <w:br/>
        <w:t xml:space="preserve">je toto klasifikováno jako neoprávněné čerpání finančních prostředků ze státního rozpočtu. OŠMTS může na základě vykázaného data ukončení odebrat finanční prostředky zpětně </w:t>
      </w:r>
      <w:r w:rsidRPr="006C02AC">
        <w:br/>
        <w:t>za měsíce, za které již nemělo být PO poskytováno.</w:t>
      </w:r>
    </w:p>
    <w:p w14:paraId="5D1D6DF2" w14:textId="77777777" w:rsidR="00FE23C3" w:rsidRPr="006C02AC" w:rsidRDefault="00FE23C3" w:rsidP="007E7AE9">
      <w:pPr>
        <w:jc w:val="both"/>
      </w:pPr>
    </w:p>
    <w:p w14:paraId="3144972E" w14:textId="27A5B2D4" w:rsidR="00FE23C3" w:rsidRPr="006C02AC" w:rsidRDefault="00FE23C3" w:rsidP="007E7AE9">
      <w:pPr>
        <w:jc w:val="both"/>
      </w:pPr>
      <w:r w:rsidRPr="006C02AC">
        <w:rPr>
          <w:u w:val="single"/>
        </w:rPr>
        <w:lastRenderedPageBreak/>
        <w:t>Právnická osoba je povinna pravidelně sledovat stav vykázaných PO</w:t>
      </w:r>
      <w:r w:rsidRPr="006C02AC">
        <w:t>, neboť tento má vliv na výši přidělovaných finančních prostředků, a je povinna včas upozornit na případné nesrovnalosti ve financování.</w:t>
      </w:r>
    </w:p>
    <w:p w14:paraId="2D2B27E8" w14:textId="77777777" w:rsidR="007E7AE9" w:rsidRPr="006C02AC" w:rsidRDefault="007E7AE9" w:rsidP="007E7AE9">
      <w:pPr>
        <w:jc w:val="both"/>
      </w:pPr>
    </w:p>
    <w:p w14:paraId="6BA6ABBF" w14:textId="77777777" w:rsidR="007E7AE9" w:rsidRPr="006C02AC" w:rsidRDefault="007E7AE9" w:rsidP="007E7AE9">
      <w:pPr>
        <w:jc w:val="both"/>
      </w:pPr>
    </w:p>
    <w:p w14:paraId="7417AEA0" w14:textId="77777777" w:rsidR="007E7AE9" w:rsidRPr="006C02AC" w:rsidRDefault="007E7AE9" w:rsidP="007E7AE9">
      <w:pPr>
        <w:pStyle w:val="Nadpis1"/>
      </w:pPr>
      <w:r w:rsidRPr="006C02AC">
        <w:t>Termíny pro zohlednění objektivních specifických potřeb</w:t>
      </w:r>
    </w:p>
    <w:p w14:paraId="4B933439" w14:textId="77777777" w:rsidR="007E7AE9" w:rsidRPr="006C02AC" w:rsidRDefault="007E7AE9" w:rsidP="007E7AE9">
      <w:pPr>
        <w:jc w:val="both"/>
      </w:pPr>
    </w:p>
    <w:p w14:paraId="69475189" w14:textId="77777777" w:rsidR="007E7AE9" w:rsidRPr="006C02AC" w:rsidRDefault="007E7AE9" w:rsidP="007E7AE9">
      <w:pPr>
        <w:jc w:val="both"/>
      </w:pPr>
      <w:r w:rsidRPr="006C02AC">
        <w:t xml:space="preserve">Dle směrnice je krajský úřad oprávněn zohlednit objektivní specifické potřeby právnických osob, k tomu určuje následující termíny.  </w:t>
      </w:r>
    </w:p>
    <w:p w14:paraId="700FE502" w14:textId="77777777" w:rsidR="007E7AE9" w:rsidRDefault="007E7AE9" w:rsidP="007E7AE9">
      <w:pPr>
        <w:jc w:val="both"/>
        <w:rPr>
          <w:b/>
        </w:rPr>
      </w:pPr>
    </w:p>
    <w:p w14:paraId="076BD14C" w14:textId="77777777" w:rsidR="006C02AC" w:rsidRPr="006C02AC" w:rsidRDefault="006C02AC" w:rsidP="007E7AE9">
      <w:pPr>
        <w:jc w:val="both"/>
        <w:rPr>
          <w:b/>
        </w:rPr>
      </w:pPr>
    </w:p>
    <w:p w14:paraId="2CD181AD" w14:textId="77777777" w:rsidR="007E7AE9" w:rsidRPr="006C02AC" w:rsidRDefault="007E7AE9" w:rsidP="007E7AE9">
      <w:pPr>
        <w:pStyle w:val="Nadpis2"/>
      </w:pPr>
      <w:r w:rsidRPr="006C02AC">
        <w:t>Právnické osoby zřizované obcemi</w:t>
      </w:r>
    </w:p>
    <w:p w14:paraId="7C689EBD" w14:textId="77777777" w:rsidR="007E7AE9" w:rsidRPr="006C02AC" w:rsidRDefault="007E7AE9" w:rsidP="007E7AE9">
      <w:pPr>
        <w:jc w:val="both"/>
      </w:pPr>
      <w:r w:rsidRPr="006C02AC">
        <w:t>Právnická osoba, která považuje rozpis přímých výdajů podle čl. III a IV směrnice s výjimkou finančních prostředků stanovených ministerstvem podle § 161 odst. 3 písm. a) a b)</w:t>
      </w:r>
      <w:r w:rsidRPr="006C02AC">
        <w:rPr>
          <w:b/>
          <w:bCs/>
        </w:rPr>
        <w:t xml:space="preserve"> </w:t>
      </w:r>
      <w:r w:rsidRPr="006C02AC">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svoji ORP (blíže viz kap. 7), a to v následujících termínech:</w:t>
      </w:r>
    </w:p>
    <w:p w14:paraId="549EB125" w14:textId="77777777" w:rsidR="007E7AE9" w:rsidRPr="006C02AC" w:rsidRDefault="007E7AE9" w:rsidP="007E7AE9">
      <w:pPr>
        <w:jc w:val="both"/>
        <w:rPr>
          <w:strike/>
        </w:rPr>
      </w:pPr>
    </w:p>
    <w:p w14:paraId="66FEB547" w14:textId="3EB4989C" w:rsidR="007E7AE9" w:rsidRPr="006C02AC" w:rsidRDefault="007E7AE9" w:rsidP="007E7AE9">
      <w:pPr>
        <w:pStyle w:val="Seznamsodrkami"/>
      </w:pPr>
      <w:r w:rsidRPr="006C02AC">
        <w:t>Protokol o projednání rozpisu rozpočtu přímých výdajů na rok 202</w:t>
      </w:r>
      <w:r w:rsidR="007621A4" w:rsidRPr="006C02AC">
        <w:t>5</w:t>
      </w:r>
      <w:r w:rsidRPr="006C02AC">
        <w:t xml:space="preserve"> spolu s porovnáním finanční rozvahy s rozpisem rozpočtu a návrhem na odstranění disproporcí předloží právnické osoby zřizované obcemi místně příslušné ORP, a to nejdéle</w:t>
      </w:r>
      <w:r w:rsidRPr="006C02AC">
        <w:rPr>
          <w:b/>
        </w:rPr>
        <w:br/>
      </w:r>
      <w:r w:rsidRPr="006C02AC">
        <w:t>do</w:t>
      </w:r>
      <w:r w:rsidRPr="006C02AC">
        <w:rPr>
          <w:b/>
        </w:rPr>
        <w:t xml:space="preserve"> 2</w:t>
      </w:r>
      <w:r w:rsidR="005A7418" w:rsidRPr="006C02AC">
        <w:rPr>
          <w:b/>
        </w:rPr>
        <w:t>8</w:t>
      </w:r>
      <w:r w:rsidRPr="006C02AC">
        <w:rPr>
          <w:b/>
        </w:rPr>
        <w:t>. března 202</w:t>
      </w:r>
      <w:r w:rsidR="007621A4" w:rsidRPr="006C02AC">
        <w:rPr>
          <w:b/>
        </w:rPr>
        <w:t>5</w:t>
      </w:r>
      <w:r w:rsidRPr="006C02AC">
        <w:rPr>
          <w:b/>
        </w:rPr>
        <w:t>.</w:t>
      </w:r>
    </w:p>
    <w:p w14:paraId="547D40A7" w14:textId="51364E42" w:rsidR="007E7AE9" w:rsidRPr="006C02AC" w:rsidRDefault="007E7AE9" w:rsidP="007E7AE9">
      <w:pPr>
        <w:pStyle w:val="Seznamsodrkami"/>
      </w:pPr>
      <w:r w:rsidRPr="006C02AC">
        <w:t>Obecní úřad obce s rozšířenou působností nejdéle do</w:t>
      </w:r>
      <w:r w:rsidRPr="006C02AC">
        <w:rPr>
          <w:b/>
        </w:rPr>
        <w:t xml:space="preserve"> </w:t>
      </w:r>
      <w:r w:rsidR="005A7418" w:rsidRPr="006C02AC">
        <w:rPr>
          <w:b/>
        </w:rPr>
        <w:t>5</w:t>
      </w:r>
      <w:r w:rsidRPr="006C02AC">
        <w:rPr>
          <w:b/>
        </w:rPr>
        <w:t xml:space="preserve">. </w:t>
      </w:r>
      <w:r w:rsidR="005A7418" w:rsidRPr="006C02AC">
        <w:rPr>
          <w:b/>
        </w:rPr>
        <w:t>dubna</w:t>
      </w:r>
      <w:r w:rsidRPr="006C02AC">
        <w:rPr>
          <w:b/>
        </w:rPr>
        <w:t xml:space="preserve"> 202</w:t>
      </w:r>
      <w:r w:rsidR="007621A4" w:rsidRPr="006C02AC">
        <w:rPr>
          <w:b/>
        </w:rPr>
        <w:t>5</w:t>
      </w:r>
      <w:r w:rsidRPr="006C02AC">
        <w:rPr>
          <w:b/>
        </w:rPr>
        <w:t xml:space="preserve"> </w:t>
      </w:r>
      <w:r w:rsidRPr="006C02AC">
        <w:t>předloží OŠMTS protokol doplněný navíc o údaje, které ovlivňují potřebu přímých výdajů, specifika provozu školy či školského zařízení a návrhy konkrétních opatření a postupu k odstranění disproporcí.</w:t>
      </w:r>
    </w:p>
    <w:p w14:paraId="64263B08" w14:textId="62BE27AE" w:rsidR="007E7AE9" w:rsidRPr="006C02AC" w:rsidRDefault="007E7AE9" w:rsidP="007E7AE9">
      <w:pPr>
        <w:pStyle w:val="Seznamsodrkami"/>
      </w:pPr>
      <w:r w:rsidRPr="006C02AC">
        <w:t>OŠMTS na základě výsledků jednání potvrdí nebo odpovídajícím způsobem upraví původní rozpis přímých výdajů, a to nejdéle do</w:t>
      </w:r>
      <w:r w:rsidRPr="006C02AC">
        <w:rPr>
          <w:b/>
        </w:rPr>
        <w:t xml:space="preserve"> </w:t>
      </w:r>
      <w:r w:rsidR="005A7418" w:rsidRPr="006C02AC">
        <w:rPr>
          <w:b/>
        </w:rPr>
        <w:t>30</w:t>
      </w:r>
      <w:r w:rsidRPr="006C02AC">
        <w:rPr>
          <w:b/>
        </w:rPr>
        <w:t>. dubna 202</w:t>
      </w:r>
      <w:r w:rsidR="007621A4" w:rsidRPr="006C02AC">
        <w:rPr>
          <w:b/>
        </w:rPr>
        <w:t>5</w:t>
      </w:r>
      <w:r w:rsidRPr="006C02AC">
        <w:rPr>
          <w:b/>
        </w:rPr>
        <w:t>.</w:t>
      </w:r>
    </w:p>
    <w:p w14:paraId="29B37F1E" w14:textId="77777777" w:rsidR="007E7AE9" w:rsidRDefault="007E7AE9" w:rsidP="007E7AE9">
      <w:pPr>
        <w:pStyle w:val="Seznamsodrkami"/>
        <w:numPr>
          <w:ilvl w:val="0"/>
          <w:numId w:val="0"/>
        </w:numPr>
        <w:ind w:left="568"/>
      </w:pPr>
    </w:p>
    <w:p w14:paraId="5FEF93EC" w14:textId="77777777" w:rsidR="006C02AC" w:rsidRPr="006C02AC" w:rsidRDefault="006C02AC" w:rsidP="007E7AE9">
      <w:pPr>
        <w:pStyle w:val="Seznamsodrkami"/>
        <w:numPr>
          <w:ilvl w:val="0"/>
          <w:numId w:val="0"/>
        </w:numPr>
        <w:ind w:left="568"/>
      </w:pPr>
    </w:p>
    <w:p w14:paraId="66207A3D" w14:textId="77777777" w:rsidR="007E7AE9" w:rsidRPr="006C02AC" w:rsidRDefault="007E7AE9" w:rsidP="007E7AE9">
      <w:pPr>
        <w:pStyle w:val="Nadpis2"/>
      </w:pPr>
      <w:r w:rsidRPr="006C02AC">
        <w:t>Právnické osoby zřizované krajem</w:t>
      </w:r>
    </w:p>
    <w:p w14:paraId="06FE55EC" w14:textId="77777777" w:rsidR="007E7AE9" w:rsidRPr="006C02AC" w:rsidRDefault="007E7AE9" w:rsidP="007E7AE9">
      <w:pPr>
        <w:jc w:val="both"/>
      </w:pPr>
      <w:r w:rsidRPr="006C02AC">
        <w:t>Právnická osoba, která považuje rozpis přímých výdajů podle čl. III a IV směrnice s výjimkou finančních prostředků stanovených ministerstvem podle § 161 odst. 3 písm. a) a b)</w:t>
      </w:r>
      <w:r w:rsidRPr="006C02AC">
        <w:rPr>
          <w:b/>
          <w:bCs/>
        </w:rPr>
        <w:t xml:space="preserve"> </w:t>
      </w:r>
      <w:r w:rsidRPr="006C02AC">
        <w:t xml:space="preserve">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 (blíže </w:t>
      </w:r>
      <w:r w:rsidRPr="006C02AC">
        <w:br/>
        <w:t>viz kap. 8), a to v následujících termínech:</w:t>
      </w:r>
    </w:p>
    <w:p w14:paraId="6632F774" w14:textId="77777777" w:rsidR="007E7AE9" w:rsidRPr="006C02AC" w:rsidRDefault="007E7AE9" w:rsidP="007E7AE9">
      <w:pPr>
        <w:jc w:val="both"/>
      </w:pPr>
    </w:p>
    <w:p w14:paraId="4C4C0A3C" w14:textId="61BD5B03" w:rsidR="007E7AE9" w:rsidRPr="006C02AC" w:rsidRDefault="007E7AE9" w:rsidP="007E7AE9">
      <w:pPr>
        <w:pStyle w:val="Seznamsodrkami"/>
      </w:pPr>
      <w:r w:rsidRPr="006C02AC">
        <w:t>Právnické osoby zřizované krajem předloží OŠMTS zpracovaný Protokol o projednání rozpisu rozpočtu přímých výdajů na rok 202</w:t>
      </w:r>
      <w:r w:rsidR="00B34273">
        <w:t>5</w:t>
      </w:r>
      <w:r w:rsidRPr="006C02AC">
        <w:t xml:space="preserve"> spolu s porovnáním finanční rozvahy </w:t>
      </w:r>
      <w:r w:rsidRPr="006C02AC">
        <w:br/>
        <w:t xml:space="preserve">s rozpisem rozpočtu a návrh na odstranění disproporcí nejdéle do </w:t>
      </w:r>
      <w:r w:rsidR="00817F50" w:rsidRPr="006C02AC">
        <w:rPr>
          <w:b/>
          <w:bCs/>
        </w:rPr>
        <w:t>4</w:t>
      </w:r>
      <w:r w:rsidRPr="006C02AC">
        <w:rPr>
          <w:b/>
        </w:rPr>
        <w:t xml:space="preserve">. </w:t>
      </w:r>
      <w:r w:rsidR="00913A8C" w:rsidRPr="006C02AC">
        <w:rPr>
          <w:b/>
        </w:rPr>
        <w:t>dubna</w:t>
      </w:r>
      <w:r w:rsidRPr="006C02AC">
        <w:rPr>
          <w:b/>
        </w:rPr>
        <w:t xml:space="preserve"> 202</w:t>
      </w:r>
      <w:r w:rsidR="00817F50" w:rsidRPr="006C02AC">
        <w:rPr>
          <w:b/>
        </w:rPr>
        <w:t>5</w:t>
      </w:r>
      <w:r w:rsidRPr="006C02AC">
        <w:rPr>
          <w:bCs/>
        </w:rPr>
        <w:t>.</w:t>
      </w:r>
    </w:p>
    <w:p w14:paraId="1C318B9F" w14:textId="3B74AD8E" w:rsidR="007E7AE9" w:rsidRPr="006C02AC" w:rsidRDefault="007E7AE9" w:rsidP="007E7AE9">
      <w:pPr>
        <w:pStyle w:val="Seznamsodrkami"/>
      </w:pPr>
      <w:r w:rsidRPr="006C02AC">
        <w:t xml:space="preserve">OŠMTS na základě výsledků projednávání původní rozpis přímých výdajů potvrdí nebo odpovídajícím způsobem upraví, a to nejdéle do </w:t>
      </w:r>
      <w:r w:rsidR="00913A8C" w:rsidRPr="006C02AC">
        <w:rPr>
          <w:b/>
        </w:rPr>
        <w:t>30</w:t>
      </w:r>
      <w:r w:rsidRPr="006C02AC">
        <w:rPr>
          <w:b/>
        </w:rPr>
        <w:t>. dubna 202</w:t>
      </w:r>
      <w:r w:rsidR="00817F50" w:rsidRPr="006C02AC">
        <w:rPr>
          <w:b/>
        </w:rPr>
        <w:t>5</w:t>
      </w:r>
      <w:r w:rsidRPr="006C02AC">
        <w:rPr>
          <w:b/>
        </w:rPr>
        <w:t>.</w:t>
      </w:r>
    </w:p>
    <w:p w14:paraId="33C614D9" w14:textId="77777777" w:rsidR="007E7AE9" w:rsidRPr="006C02AC" w:rsidRDefault="007E7AE9" w:rsidP="007E7AE9">
      <w:pPr>
        <w:pStyle w:val="Seznamsodrkami"/>
        <w:numPr>
          <w:ilvl w:val="0"/>
          <w:numId w:val="0"/>
        </w:numPr>
        <w:ind w:left="568"/>
        <w:rPr>
          <w:strike/>
        </w:rPr>
      </w:pPr>
    </w:p>
    <w:p w14:paraId="511AAA9D" w14:textId="77777777" w:rsidR="007E7AE9" w:rsidRPr="006C02AC" w:rsidRDefault="007E7AE9" w:rsidP="007E7AE9">
      <w:pPr>
        <w:pStyle w:val="Seznamsodrkami"/>
        <w:numPr>
          <w:ilvl w:val="0"/>
          <w:numId w:val="0"/>
        </w:numPr>
        <w:ind w:left="568"/>
        <w:rPr>
          <w:strike/>
        </w:rPr>
      </w:pPr>
    </w:p>
    <w:p w14:paraId="07102474" w14:textId="77777777" w:rsidR="007E7AE9" w:rsidRPr="006C02AC" w:rsidRDefault="007E7AE9" w:rsidP="007E7AE9">
      <w:pPr>
        <w:pStyle w:val="Nadpis1"/>
      </w:pPr>
      <w:r w:rsidRPr="006C02AC">
        <w:t>Ostatní termíny</w:t>
      </w:r>
    </w:p>
    <w:p w14:paraId="11531A56" w14:textId="77777777" w:rsidR="007E7AE9" w:rsidRPr="006C02AC" w:rsidRDefault="007E7AE9" w:rsidP="007E7AE9">
      <w:pPr>
        <w:jc w:val="both"/>
      </w:pPr>
    </w:p>
    <w:p w14:paraId="3C25FE74" w14:textId="5AA4F943" w:rsidR="007E7AE9" w:rsidRPr="006C02AC" w:rsidRDefault="007E7AE9" w:rsidP="007E7AE9">
      <w:pPr>
        <w:jc w:val="both"/>
        <w:rPr>
          <w:bCs/>
        </w:rPr>
      </w:pPr>
      <w:r w:rsidRPr="006C02AC">
        <w:t>V souladu se směrnicí a obdobně jako v letech přechozích předpokládá OŠMTS po předložení podkladů provedení úpravy rozpočtu s novým školním rokem. Termín:</w:t>
      </w:r>
      <w:r w:rsidRPr="006C02AC">
        <w:rPr>
          <w:b/>
          <w:bCs/>
        </w:rPr>
        <w:t xml:space="preserve"> </w:t>
      </w:r>
      <w:r w:rsidR="00867922" w:rsidRPr="006C02AC">
        <w:rPr>
          <w:b/>
          <w:bCs/>
        </w:rPr>
        <w:t>5</w:t>
      </w:r>
      <w:r w:rsidRPr="006C02AC">
        <w:rPr>
          <w:b/>
          <w:bCs/>
        </w:rPr>
        <w:t>. září 202</w:t>
      </w:r>
      <w:r w:rsidR="00817F50" w:rsidRPr="006C02AC">
        <w:rPr>
          <w:b/>
          <w:bCs/>
        </w:rPr>
        <w:t>5.</w:t>
      </w:r>
      <w:r w:rsidRPr="006C02AC">
        <w:rPr>
          <w:b/>
        </w:rPr>
        <w:t xml:space="preserve"> </w:t>
      </w:r>
      <w:r w:rsidRPr="006C02AC">
        <w:rPr>
          <w:bCs/>
        </w:rPr>
        <w:t xml:space="preserve">Zde bude </w:t>
      </w:r>
      <w:r w:rsidRPr="006C02AC">
        <w:rPr>
          <w:bCs/>
        </w:rPr>
        <w:lastRenderedPageBreak/>
        <w:t>přihlíženo i k údajům vykázaných ve výkaze P1d-01, který zachycuje změnu v hodinách přímé pedagogické činnosti od září daného roku.</w:t>
      </w:r>
    </w:p>
    <w:p w14:paraId="189F7E3C" w14:textId="77777777" w:rsidR="007E7AE9" w:rsidRPr="006C02AC" w:rsidRDefault="007E7AE9" w:rsidP="007E7AE9">
      <w:pPr>
        <w:jc w:val="both"/>
        <w:rPr>
          <w:bCs/>
        </w:rPr>
      </w:pPr>
    </w:p>
    <w:p w14:paraId="39BA9253" w14:textId="77777777" w:rsidR="007E7AE9" w:rsidRPr="006C02AC" w:rsidRDefault="007E7AE9" w:rsidP="007E7AE9">
      <w:pPr>
        <w:pStyle w:val="Seznamsodrkami"/>
        <w:numPr>
          <w:ilvl w:val="0"/>
          <w:numId w:val="0"/>
        </w:numPr>
      </w:pPr>
      <w:r w:rsidRPr="006C02AC">
        <w:t xml:space="preserve">Předpokládané termíny pro předložení podkladů k objektivním specifickým potřebám právnických osob a případným požadavkům na přesuny mezi ukazateli rozpisu rozpočtu: </w:t>
      </w:r>
    </w:p>
    <w:p w14:paraId="3C1C8D0E" w14:textId="05213ED8" w:rsidR="007E7AE9" w:rsidRPr="006C02AC" w:rsidRDefault="00817F50" w:rsidP="007E7AE9">
      <w:pPr>
        <w:pStyle w:val="Seznamsodrkami"/>
        <w:numPr>
          <w:ilvl w:val="1"/>
          <w:numId w:val="10"/>
        </w:numPr>
      </w:pPr>
      <w:r w:rsidRPr="006C02AC">
        <w:t>16. května 2025</w:t>
      </w:r>
      <w:r w:rsidR="00F32EED">
        <w:t>,</w:t>
      </w:r>
    </w:p>
    <w:p w14:paraId="485EFDB8" w14:textId="677489EE" w:rsidR="00817F50" w:rsidRPr="006C02AC" w:rsidRDefault="006C02AC" w:rsidP="007E7AE9">
      <w:pPr>
        <w:pStyle w:val="Seznamsodrkami"/>
        <w:numPr>
          <w:ilvl w:val="1"/>
          <w:numId w:val="10"/>
        </w:numPr>
      </w:pPr>
      <w:r w:rsidRPr="006C02AC">
        <w:t>3. října 2025</w:t>
      </w:r>
      <w:r w:rsidR="00F32EED">
        <w:t>.</w:t>
      </w:r>
    </w:p>
    <w:p w14:paraId="2E5C2209" w14:textId="77777777" w:rsidR="007E7AE9" w:rsidRPr="006C02AC" w:rsidRDefault="007E7AE9" w:rsidP="007E7AE9">
      <w:pPr>
        <w:jc w:val="both"/>
      </w:pPr>
    </w:p>
    <w:p w14:paraId="1F9285D8" w14:textId="77777777" w:rsidR="007E7AE9" w:rsidRPr="006C02AC" w:rsidRDefault="007E7AE9" w:rsidP="007E7AE9">
      <w:pPr>
        <w:jc w:val="both"/>
      </w:pPr>
    </w:p>
    <w:p w14:paraId="53256963" w14:textId="77777777" w:rsidR="007E7AE9" w:rsidRPr="006C02AC" w:rsidRDefault="007E7AE9" w:rsidP="007E7AE9">
      <w:pPr>
        <w:jc w:val="both"/>
        <w:rPr>
          <w:b/>
        </w:rPr>
      </w:pPr>
    </w:p>
    <w:p w14:paraId="5D48E476" w14:textId="77777777" w:rsidR="007E7AE9" w:rsidRPr="006C02AC" w:rsidRDefault="007E7AE9" w:rsidP="007E7AE9">
      <w:pPr>
        <w:jc w:val="both"/>
        <w:rPr>
          <w:b/>
        </w:rPr>
      </w:pPr>
      <w:r w:rsidRPr="006C02AC">
        <w:rPr>
          <w:b/>
        </w:rPr>
        <w:t xml:space="preserve">Příloha: </w:t>
      </w:r>
    </w:p>
    <w:p w14:paraId="5071797A" w14:textId="074DD49B" w:rsidR="007E7AE9" w:rsidRPr="006C02AC" w:rsidRDefault="007E7AE9" w:rsidP="007E7AE9">
      <w:pPr>
        <w:jc w:val="both"/>
      </w:pPr>
      <w:r w:rsidRPr="006C02AC">
        <w:t>Soustava krajských normativů pro rok 202</w:t>
      </w:r>
      <w:r w:rsidR="007C47D5" w:rsidRPr="006C02AC">
        <w:t>5</w:t>
      </w:r>
      <w:r w:rsidRPr="006C02AC">
        <w:t xml:space="preserve"> </w:t>
      </w:r>
    </w:p>
    <w:p w14:paraId="2C4E2BC4" w14:textId="2A9AF6F8" w:rsidR="007E7AE9" w:rsidRPr="00B462BF" w:rsidRDefault="007E7AE9" w:rsidP="007E7AE9">
      <w:pPr>
        <w:jc w:val="both"/>
        <w:rPr>
          <w:rFonts w:eastAsia="Calibri"/>
          <w:color w:val="262626" w:themeColor="text1" w:themeTint="D9"/>
          <w:lang w:eastAsia="en-US"/>
        </w:rPr>
      </w:pPr>
      <w:r w:rsidRPr="006C02AC">
        <w:t>Protokol o projednání rozpisu rozpočtu přímých výdajů na rok 202</w:t>
      </w:r>
      <w:r w:rsidR="007C47D5" w:rsidRPr="006C02AC">
        <w:t>5</w:t>
      </w:r>
    </w:p>
    <w:p w14:paraId="5A104B81" w14:textId="77777777" w:rsidR="007E7AE9" w:rsidRDefault="007E7AE9" w:rsidP="00D4269E">
      <w:pPr>
        <w:jc w:val="both"/>
      </w:pPr>
    </w:p>
    <w:sectPr w:rsidR="007E7AE9" w:rsidSect="007E6B69">
      <w:headerReference w:type="default" r:id="rId9"/>
      <w:footerReference w:type="default" r:id="rId10"/>
      <w:headerReference w:type="first" r:id="rId11"/>
      <w:footerReference w:type="first" r:id="rId12"/>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0B17" w14:textId="77777777" w:rsidR="00241314" w:rsidRDefault="00241314">
      <w:r>
        <w:separator/>
      </w:r>
    </w:p>
  </w:endnote>
  <w:endnote w:type="continuationSeparator" w:id="0">
    <w:p w14:paraId="3A749D82" w14:textId="77777777" w:rsidR="00241314" w:rsidRDefault="0024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5F6" w14:textId="77ED2FB6" w:rsidR="00AB5DC9" w:rsidRPr="00A15F82" w:rsidRDefault="00AB5DC9"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Pr="00A15F82">
      <w:rPr>
        <w:rStyle w:val="slostrnky"/>
        <w:rFonts w:ascii="Arial" w:hAnsi="Arial" w:cs="Arial"/>
        <w:color w:val="808080" w:themeColor="background1" w:themeShade="80"/>
        <w:sz w:val="14"/>
        <w:szCs w:val="14"/>
      </w:rPr>
      <w:fldChar w:fldCharType="begin"/>
    </w:r>
    <w:r w:rsidRPr="00A15F82">
      <w:rPr>
        <w:rStyle w:val="slostrnky"/>
        <w:rFonts w:ascii="Arial" w:hAnsi="Arial" w:cs="Arial"/>
        <w:color w:val="808080" w:themeColor="background1" w:themeShade="80"/>
        <w:sz w:val="14"/>
        <w:szCs w:val="14"/>
      </w:rPr>
      <w:instrText xml:space="preserve"> PAGE </w:instrText>
    </w:r>
    <w:r w:rsidRPr="00A15F82">
      <w:rPr>
        <w:rStyle w:val="slostrnky"/>
        <w:rFonts w:ascii="Arial" w:hAnsi="Arial" w:cs="Arial"/>
        <w:color w:val="808080" w:themeColor="background1" w:themeShade="80"/>
        <w:sz w:val="14"/>
        <w:szCs w:val="14"/>
      </w:rPr>
      <w:fldChar w:fldCharType="separate"/>
    </w:r>
    <w:r w:rsidR="00416A1D">
      <w:rPr>
        <w:rStyle w:val="slostrnky"/>
        <w:rFonts w:ascii="Arial" w:hAnsi="Arial" w:cs="Arial"/>
        <w:noProof/>
        <w:color w:val="808080" w:themeColor="background1" w:themeShade="80"/>
        <w:sz w:val="14"/>
        <w:szCs w:val="14"/>
      </w:rPr>
      <w:t>12</w:t>
    </w:r>
    <w:r w:rsidRPr="00A15F82">
      <w:rPr>
        <w:rStyle w:val="slostrnky"/>
        <w:rFonts w:ascii="Arial" w:hAnsi="Arial" w:cs="Arial"/>
        <w:color w:val="808080" w:themeColor="background1" w:themeShade="8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AB5DC9" w:rsidRPr="00505C48" w14:paraId="65736E91" w14:textId="77777777" w:rsidTr="00C9358F">
      <w:trPr>
        <w:gridAfter w:val="1"/>
        <w:wAfter w:w="8" w:type="dxa"/>
        <w:jc w:val="center"/>
      </w:trPr>
      <w:tc>
        <w:tcPr>
          <w:tcW w:w="8504" w:type="dxa"/>
          <w:tcBorders>
            <w:bottom w:val="single" w:sz="2" w:space="0" w:color="A6A6A6"/>
          </w:tcBorders>
        </w:tcPr>
        <w:p w14:paraId="6E8ED0C9" w14:textId="41BB00A4" w:rsidR="00AB5DC9" w:rsidRPr="009F10CD" w:rsidRDefault="00AB5DC9" w:rsidP="00B462BF">
          <w:pPr>
            <w:spacing w:after="60"/>
            <w:contextualSpacing/>
            <w:jc w:val="center"/>
            <w:rPr>
              <w:rFonts w:ascii="Arial" w:eastAsia="MS PGothic" w:hAnsi="Arial" w:cs="Arial"/>
              <w:bCs/>
              <w:color w:val="808080" w:themeColor="background1" w:themeShade="80"/>
              <w:kern w:val="28"/>
              <w:sz w:val="14"/>
              <w:szCs w:val="14"/>
              <w:lang w:val="de-DE"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+420 485 226 </w:t>
          </w:r>
          <w:proofErr w:type="gramStart"/>
          <w:r>
            <w:rPr>
              <w:rFonts w:ascii="Arial" w:hAnsi="Arial" w:cs="Arial"/>
              <w:color w:val="808080" w:themeColor="background1" w:themeShade="80"/>
              <w:sz w:val="16"/>
              <w:szCs w:val="16"/>
            </w:rPr>
            <w:t>647</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proofErr w:type="gramEnd"/>
          <w:r w:rsidRPr="00A15F82">
            <w:rPr>
              <w:rFonts w:ascii="Arial" w:eastAsia="MS PGothic" w:hAnsi="Arial" w:cs="Arial"/>
              <w:bCs/>
              <w:color w:val="808080" w:themeColor="background1" w:themeShade="80"/>
              <w:kern w:val="28"/>
              <w:sz w:val="16"/>
              <w:szCs w:val="16"/>
              <w:lang w:eastAsia="ja-JP"/>
            </w:rPr>
            <w:t xml:space="preserve"> </w:t>
          </w:r>
          <w:r>
            <w:rPr>
              <w:rFonts w:ascii="Arial" w:hAnsi="Arial" w:cs="Arial"/>
              <w:color w:val="808080" w:themeColor="background1" w:themeShade="80"/>
              <w:sz w:val="16"/>
              <w:szCs w:val="16"/>
            </w:rPr>
            <w:t>jirina.princova</w:t>
          </w:r>
          <w:r w:rsidRPr="00A15F82">
            <w:rPr>
              <w:rFonts w:ascii="Arial" w:eastAsia="MS PGothic" w:hAnsi="Arial" w:cs="Arial"/>
              <w:bCs/>
              <w:color w:val="808080" w:themeColor="background1" w:themeShade="80"/>
              <w:kern w:val="28"/>
              <w:sz w:val="16"/>
              <w:szCs w:val="16"/>
              <w:lang w:eastAsia="ja-JP"/>
            </w:rPr>
            <w:t>@kraj-lbc.cz</w:t>
          </w:r>
          <w:r w:rsidRPr="009F10CD">
            <w:rPr>
              <w:rFonts w:ascii="Arial" w:eastAsia="MS PGothic" w:hAnsi="Arial" w:cs="Arial"/>
              <w:bCs/>
              <w:color w:val="808080" w:themeColor="background1" w:themeShade="80"/>
              <w:kern w:val="28"/>
              <w:sz w:val="16"/>
              <w:szCs w:val="16"/>
              <w:lang w:val="de-DE"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AB5DC9" w:rsidRPr="00963565" w14:paraId="1BC08676" w14:textId="77777777" w:rsidTr="00A150C4">
            <w:trPr>
              <w:trHeight w:hRule="exact" w:val="144"/>
              <w:jc w:val="center"/>
            </w:trPr>
            <w:tc>
              <w:tcPr>
                <w:tcW w:w="2835" w:type="dxa"/>
                <w:tcBorders>
                  <w:top w:val="single" w:sz="4" w:space="0" w:color="A6A6A6"/>
                </w:tcBorders>
                <w:shd w:val="clear" w:color="auto" w:fill="auto"/>
                <w:vAlign w:val="center"/>
              </w:tcPr>
              <w:p w14:paraId="4B75CD33"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c>
              <w:tcPr>
                <w:tcW w:w="2835" w:type="dxa"/>
                <w:tcBorders>
                  <w:top w:val="single" w:sz="4" w:space="0" w:color="A6A6A6"/>
                </w:tcBorders>
                <w:shd w:val="clear" w:color="auto" w:fill="auto"/>
                <w:vAlign w:val="center"/>
              </w:tcPr>
              <w:p w14:paraId="014DF2BA"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c>
              <w:tcPr>
                <w:tcW w:w="2835" w:type="dxa"/>
                <w:tcBorders>
                  <w:top w:val="single" w:sz="4" w:space="0" w:color="A6A6A6"/>
                </w:tcBorders>
                <w:shd w:val="clear" w:color="auto" w:fill="auto"/>
                <w:vAlign w:val="center"/>
              </w:tcPr>
              <w:p w14:paraId="26656AD7" w14:textId="77777777" w:rsidR="00AB5DC9" w:rsidRPr="009F10CD" w:rsidRDefault="00AB5DC9" w:rsidP="00C9358F">
                <w:pPr>
                  <w:spacing w:line="420" w:lineRule="auto"/>
                  <w:ind w:left="57" w:right="28"/>
                  <w:jc w:val="center"/>
                  <w:rPr>
                    <w:rFonts w:ascii="Arial" w:eastAsia="Arial" w:hAnsi="Arial" w:cs="Arial"/>
                    <w:color w:val="808080"/>
                    <w:sz w:val="14"/>
                    <w:szCs w:val="14"/>
                    <w:lang w:val="de-DE" w:eastAsia="ja-JP"/>
                  </w:rPr>
                </w:pPr>
              </w:p>
            </w:tc>
          </w:tr>
          <w:tr w:rsidR="00AB5DC9" w:rsidRPr="00963565" w14:paraId="6896A64F" w14:textId="77777777" w:rsidTr="00C9358F">
            <w:trPr>
              <w:trHeight w:val="454"/>
              <w:jc w:val="center"/>
            </w:trPr>
            <w:tc>
              <w:tcPr>
                <w:tcW w:w="2835" w:type="dxa"/>
                <w:shd w:val="clear" w:color="auto" w:fill="auto"/>
                <w:tcMar>
                  <w:left w:w="0" w:type="dxa"/>
                  <w:bottom w:w="144" w:type="dxa"/>
                  <w:right w:w="115" w:type="dxa"/>
                </w:tcMar>
              </w:tcPr>
              <w:p w14:paraId="7C7F8DE8" w14:textId="7EC11B86"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Liberecký kraj</w:t>
                </w:r>
                <w:r w:rsidRPr="00A15F82">
                  <w:rPr>
                    <w:rFonts w:ascii="Arial" w:eastAsia="Arial" w:hAnsi="Arial" w:cs="Arial"/>
                    <w:color w:val="808080" w:themeColor="background1" w:themeShade="80"/>
                    <w:sz w:val="14"/>
                    <w:szCs w:val="14"/>
                    <w:lang w:eastAsia="ja-JP"/>
                  </w:rPr>
                  <w:br/>
                  <w:t>U Jezu 642/</w:t>
                </w:r>
                <w:proofErr w:type="gramStart"/>
                <w:r w:rsidRPr="00A15F82">
                  <w:rPr>
                    <w:rFonts w:ascii="Arial" w:eastAsia="Arial" w:hAnsi="Arial" w:cs="Arial"/>
                    <w:color w:val="808080" w:themeColor="background1" w:themeShade="80"/>
                    <w:sz w:val="14"/>
                    <w:szCs w:val="14"/>
                    <w:lang w:eastAsia="ja-JP"/>
                  </w:rPr>
                  <w:t>2a</w:t>
                </w:r>
                <w:proofErr w:type="gramEnd"/>
                <w:r w:rsidRPr="00A15F82">
                  <w:rPr>
                    <w:rFonts w:ascii="Arial" w:eastAsia="Arial" w:hAnsi="Arial" w:cs="Arial"/>
                    <w:color w:val="808080" w:themeColor="background1" w:themeShade="80"/>
                    <w:sz w:val="14"/>
                    <w:szCs w:val="14"/>
                    <w:lang w:eastAsia="ja-JP"/>
                  </w:rPr>
                  <w:t>, 461 80 Liberec 2</w:t>
                </w:r>
              </w:p>
            </w:tc>
            <w:tc>
              <w:tcPr>
                <w:tcW w:w="2835" w:type="dxa"/>
                <w:shd w:val="clear" w:color="auto" w:fill="auto"/>
                <w:tcMar>
                  <w:left w:w="0" w:type="dxa"/>
                  <w:bottom w:w="144" w:type="dxa"/>
                  <w:right w:w="115" w:type="dxa"/>
                </w:tcMar>
              </w:tcPr>
              <w:p w14:paraId="4473F0F8" w14:textId="22554F7B"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 c5kbvkw</w:t>
                </w:r>
              </w:p>
              <w:p w14:paraId="2EF04551" w14:textId="110F2E87"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shd w:val="clear" w:color="auto" w:fill="auto"/>
              </w:tcPr>
              <w:p w14:paraId="52A00B7E" w14:textId="6D09558C"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Pr="00A15F82">
                  <w:rPr>
                    <w:rFonts w:ascii="Arial" w:eastAsia="Arial" w:hAnsi="Arial" w:cs="Arial"/>
                    <w:color w:val="808080" w:themeColor="background1" w:themeShade="80"/>
                    <w:sz w:val="14"/>
                    <w:szCs w:val="14"/>
                    <w:lang w:eastAsia="ja-JP"/>
                  </w:rPr>
                  <w:t xml:space="preserve"> 70891508</w:t>
                </w:r>
              </w:p>
              <w:p w14:paraId="60E5BD29" w14:textId="04C559E7" w:rsidR="00AB5DC9" w:rsidRPr="00A15F82" w:rsidRDefault="00AB5DC9"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AB5DC9" w:rsidRPr="005E6671" w:rsidRDefault="00AB5DC9" w:rsidP="00C9358F">
          <w:pPr>
            <w:spacing w:after="400" w:line="360" w:lineRule="auto"/>
            <w:jc w:val="center"/>
            <w:rPr>
              <w:rFonts w:ascii="Arial" w:eastAsia="Arial" w:hAnsi="Arial" w:cs="Arial"/>
              <w:color w:val="808080"/>
              <w:sz w:val="14"/>
              <w:szCs w:val="14"/>
              <w:lang w:val="en-US" w:eastAsia="ja-JP"/>
            </w:rPr>
          </w:pPr>
        </w:p>
      </w:tc>
      <w:tc>
        <w:tcPr>
          <w:tcW w:w="21" w:type="dxa"/>
          <w:gridSpan w:val="2"/>
          <w:shd w:val="clear" w:color="auto" w:fill="auto"/>
          <w:vAlign w:val="bottom"/>
        </w:tcPr>
        <w:p w14:paraId="4FFE2F8F" w14:textId="77777777" w:rsidR="00AB5DC9" w:rsidRPr="00505C48" w:rsidRDefault="00AB5DC9" w:rsidP="00505C48">
          <w:pPr>
            <w:spacing w:after="400" w:line="360" w:lineRule="auto"/>
            <w:rPr>
              <w:rFonts w:ascii="Arial" w:eastAsia="Arial" w:hAnsi="Arial" w:cs="Arial"/>
              <w:color w:val="BFBFBF"/>
              <w:sz w:val="14"/>
              <w:szCs w:val="14"/>
              <w:lang w:val="en-US" w:eastAsia="ja-JP"/>
            </w:rPr>
          </w:pPr>
        </w:p>
      </w:tc>
    </w:tr>
    <w:tr w:rsidR="00AB5DC9"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AB5DC9" w:rsidRPr="005E6671" w:rsidRDefault="00AB5DC9" w:rsidP="00C9358F">
          <w:pPr>
            <w:spacing w:after="400" w:line="336" w:lineRule="auto"/>
            <w:jc w:val="center"/>
            <w:rPr>
              <w:rFonts w:ascii="Arial" w:eastAsia="Arial" w:hAnsi="Arial" w:cs="Arial"/>
              <w:color w:val="808080"/>
              <w:sz w:val="14"/>
              <w:szCs w:val="14"/>
              <w:lang w:val="en-US" w:eastAsia="ja-JP"/>
            </w:rPr>
          </w:pPr>
        </w:p>
      </w:tc>
      <w:tc>
        <w:tcPr>
          <w:tcW w:w="21" w:type="dxa"/>
          <w:gridSpan w:val="2"/>
          <w:shd w:val="clear" w:color="auto" w:fill="auto"/>
        </w:tcPr>
        <w:p w14:paraId="0EC12A9D" w14:textId="77777777" w:rsidR="00AB5DC9" w:rsidRPr="00505C48" w:rsidRDefault="00AB5DC9" w:rsidP="00505C48">
          <w:pPr>
            <w:spacing w:after="400" w:line="336" w:lineRule="auto"/>
            <w:rPr>
              <w:rFonts w:ascii="Arial" w:eastAsia="Arial" w:hAnsi="Arial" w:cs="Arial"/>
              <w:color w:val="BFBFBF"/>
              <w:sz w:val="14"/>
              <w:szCs w:val="14"/>
              <w:lang w:val="en-US" w:eastAsia="ja-JP"/>
            </w:rPr>
          </w:pPr>
        </w:p>
      </w:tc>
    </w:tr>
  </w:tbl>
  <w:p w14:paraId="6126CD06" w14:textId="77777777" w:rsidR="00AB5DC9" w:rsidRPr="00505C48" w:rsidRDefault="00AB5DC9"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DF8E" w14:textId="77777777" w:rsidR="00241314" w:rsidRDefault="00241314">
      <w:r>
        <w:separator/>
      </w:r>
    </w:p>
  </w:footnote>
  <w:footnote w:type="continuationSeparator" w:id="0">
    <w:p w14:paraId="1E1E1904" w14:textId="77777777" w:rsidR="00241314" w:rsidRDefault="0024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828"/>
    </w:tblGrid>
    <w:tr w:rsidR="00AB5DC9" w:rsidRPr="00477FE0" w14:paraId="0A6021EC" w14:textId="77777777" w:rsidTr="00F1642E">
      <w:tc>
        <w:tcPr>
          <w:tcW w:w="3828" w:type="dxa"/>
          <w:tcBorders>
            <w:top w:val="nil"/>
            <w:left w:val="nil"/>
            <w:bottom w:val="single" w:sz="2" w:space="0" w:color="A6A6A6" w:themeColor="background1" w:themeShade="A6"/>
            <w:right w:val="nil"/>
          </w:tcBorders>
          <w:vAlign w:val="center"/>
        </w:tcPr>
        <w:p w14:paraId="42CB3FEC" w14:textId="7E5D1EA5" w:rsidR="00AB5DC9" w:rsidRPr="00C47135" w:rsidRDefault="001A1548" w:rsidP="00C47135">
          <w:pPr>
            <w:rPr>
              <w:sz w:val="20"/>
              <w:szCs w:val="20"/>
            </w:rPr>
          </w:pPr>
          <w:r w:rsidRPr="001A1548">
            <w:rPr>
              <w:sz w:val="20"/>
              <w:szCs w:val="20"/>
            </w:rPr>
            <w:t>KULK  17093/2025</w:t>
          </w:r>
          <w:r>
            <w:rPr>
              <w:sz w:val="20"/>
              <w:szCs w:val="20"/>
            </w:rPr>
            <w:t xml:space="preserve"> ze dne 14. 3. 2025</w:t>
          </w:r>
        </w:p>
      </w:tc>
    </w:tr>
    <w:tr w:rsidR="00AB5DC9" w:rsidRPr="00BA5D17" w14:paraId="58897A93" w14:textId="77777777" w:rsidTr="00F1642E">
      <w:tc>
        <w:tcPr>
          <w:tcW w:w="3828" w:type="dxa"/>
          <w:tcBorders>
            <w:top w:val="single" w:sz="2" w:space="0" w:color="A6A6A6" w:themeColor="background1" w:themeShade="A6"/>
            <w:left w:val="nil"/>
            <w:bottom w:val="nil"/>
            <w:right w:val="nil"/>
          </w:tcBorders>
          <w:vAlign w:val="center"/>
        </w:tcPr>
        <w:p w14:paraId="2501FE67" w14:textId="665A2168" w:rsidR="00AB5DC9" w:rsidRPr="00A15F82" w:rsidRDefault="00AB5DC9" w:rsidP="00F1642E">
          <w:pPr>
            <w:spacing w:before="100" w:beforeAutospacing="1" w:after="100" w:afterAutospacing="1" w:line="276" w:lineRule="auto"/>
            <w:rPr>
              <w:color w:val="262626" w:themeColor="text1" w:themeTint="D9"/>
              <w:sz w:val="18"/>
              <w:szCs w:val="18"/>
            </w:rPr>
          </w:pPr>
          <w:r w:rsidRPr="00F1642E">
            <w:rPr>
              <w:color w:val="262626" w:themeColor="text1" w:themeTint="D9"/>
              <w:sz w:val="20"/>
              <w:szCs w:val="20"/>
            </w:rPr>
            <w:t>Krajská metodika rozpisu přímých výdajů</w:t>
          </w:r>
        </w:p>
      </w:tc>
    </w:tr>
  </w:tbl>
  <w:p w14:paraId="66DC8C6E" w14:textId="77777777" w:rsidR="00AB5DC9" w:rsidRDefault="00AB5D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892E" w14:textId="1BF4A765" w:rsidR="00AB5DC9" w:rsidRPr="000F4DC6" w:rsidRDefault="00AB5DC9"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AB5DC9" w:rsidRPr="004F0FC6" w:rsidRDefault="00AB5DC9" w:rsidP="00B462BF">
    <w:pPr>
      <w:tabs>
        <w:tab w:val="center" w:pos="4703"/>
      </w:tabs>
      <w:jc w:val="center"/>
      <w:rPr>
        <w:rFonts w:ascii="Arial" w:eastAsia="Calibri" w:hAnsi="Arial" w:cs="Arial"/>
        <w:color w:val="808080" w:themeColor="background1" w:themeShade="80"/>
        <w:sz w:val="18"/>
        <w:szCs w:val="18"/>
        <w:lang w:eastAsia="en-US"/>
      </w:rPr>
    </w:pPr>
  </w:p>
  <w:p w14:paraId="7123EBDC" w14:textId="02A76A20" w:rsidR="00AB5DC9" w:rsidRPr="00A15F82" w:rsidRDefault="00AB5DC9" w:rsidP="00B462BF">
    <w:pPr>
      <w:pStyle w:val="Zhlav"/>
      <w:tabs>
        <w:tab w:val="clear" w:pos="4536"/>
        <w:tab w:val="clear" w:pos="9072"/>
        <w:tab w:val="center" w:pos="4535"/>
      </w:tabs>
      <w:jc w:val="center"/>
      <w:rPr>
        <w:rFonts w:ascii="Arial" w:hAnsi="Arial" w:cs="Arial"/>
        <w:sz w:val="18"/>
        <w:szCs w:val="18"/>
      </w:rPr>
    </w:pPr>
    <w:r w:rsidRPr="00DB72B8">
      <w:rPr>
        <w:rFonts w:ascii="Arial" w:hAnsi="Arial" w:cs="Arial"/>
        <w:color w:val="808080" w:themeColor="background1" w:themeShade="80"/>
        <w:sz w:val="18"/>
        <w:szCs w:val="18"/>
      </w:rPr>
      <w:t>odbor školství, mládeže, tělovýchovy a sportu</w:t>
    </w:r>
  </w:p>
  <w:p w14:paraId="6E27F06C" w14:textId="7E1A1179" w:rsidR="00AB5DC9" w:rsidRPr="004F0FC6" w:rsidRDefault="00AB5DC9"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E469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2D3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C21AA"/>
    <w:multiLevelType w:val="hybridMultilevel"/>
    <w:tmpl w:val="548851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E7AA4"/>
    <w:multiLevelType w:val="hybridMultilevel"/>
    <w:tmpl w:val="70806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CA6AD2"/>
    <w:multiLevelType w:val="hybridMultilevel"/>
    <w:tmpl w:val="4EE06858"/>
    <w:lvl w:ilvl="0" w:tplc="FFFFFFFF">
      <w:start w:val="1"/>
      <w:numFmt w:val="bullet"/>
      <w:lvlText w:val=""/>
      <w:lvlJc w:val="left"/>
      <w:pPr>
        <w:tabs>
          <w:tab w:val="num" w:pos="568"/>
        </w:tabs>
        <w:ind w:left="568" w:hanging="284"/>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2444" w:hanging="360"/>
      </w:pPr>
      <w:rPr>
        <w:rFonts w:ascii="Times New Roman" w:eastAsia="Times New Roman" w:hAnsi="Times New Roman" w:cs="Times New Roman"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4141485"/>
    <w:multiLevelType w:val="hybridMultilevel"/>
    <w:tmpl w:val="01C66C9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039442A"/>
    <w:multiLevelType w:val="hybridMultilevel"/>
    <w:tmpl w:val="9EF25978"/>
    <w:lvl w:ilvl="0" w:tplc="2BB05312">
      <w:start w:val="1"/>
      <w:numFmt w:val="bullet"/>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D01C75F0">
      <w:numFmt w:val="bullet"/>
      <w:lvlText w:val="-"/>
      <w:lvlJc w:val="left"/>
      <w:pPr>
        <w:ind w:left="3164" w:hanging="360"/>
      </w:pPr>
      <w:rPr>
        <w:rFonts w:ascii="Times New Roman" w:eastAsia="Times New Roman" w:hAnsi="Times New Roman" w:cs="Times New Roman"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63CC48C3"/>
    <w:multiLevelType w:val="hybridMultilevel"/>
    <w:tmpl w:val="2F0E78B0"/>
    <w:lvl w:ilvl="0" w:tplc="04050005">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C4AFC"/>
    <w:multiLevelType w:val="hybridMultilevel"/>
    <w:tmpl w:val="0AFE2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B477C8"/>
    <w:multiLevelType w:val="hybridMultilevel"/>
    <w:tmpl w:val="1518AC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74E9580B"/>
    <w:multiLevelType w:val="hybridMultilevel"/>
    <w:tmpl w:val="A9BA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022835">
    <w:abstractNumId w:val="7"/>
  </w:num>
  <w:num w:numId="2" w16cid:durableId="1785223125">
    <w:abstractNumId w:val="5"/>
  </w:num>
  <w:num w:numId="3" w16cid:durableId="407001225">
    <w:abstractNumId w:val="2"/>
  </w:num>
  <w:num w:numId="4" w16cid:durableId="488442362">
    <w:abstractNumId w:val="10"/>
  </w:num>
  <w:num w:numId="5" w16cid:durableId="1171219732">
    <w:abstractNumId w:val="6"/>
  </w:num>
  <w:num w:numId="6" w16cid:durableId="1908758325">
    <w:abstractNumId w:val="8"/>
  </w:num>
  <w:num w:numId="7" w16cid:durableId="731930164">
    <w:abstractNumId w:val="9"/>
  </w:num>
  <w:num w:numId="8" w16cid:durableId="877472182">
    <w:abstractNumId w:val="11"/>
  </w:num>
  <w:num w:numId="9" w16cid:durableId="579370356">
    <w:abstractNumId w:val="3"/>
  </w:num>
  <w:num w:numId="10" w16cid:durableId="1123690986">
    <w:abstractNumId w:val="4"/>
  </w:num>
  <w:num w:numId="11" w16cid:durableId="440613532">
    <w:abstractNumId w:val="0"/>
  </w:num>
  <w:num w:numId="12" w16cid:durableId="460029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04FFD"/>
    <w:rsid w:val="00010DED"/>
    <w:rsid w:val="00013AB5"/>
    <w:rsid w:val="0002024A"/>
    <w:rsid w:val="00020A05"/>
    <w:rsid w:val="00022FD5"/>
    <w:rsid w:val="00026F3A"/>
    <w:rsid w:val="00033547"/>
    <w:rsid w:val="00034921"/>
    <w:rsid w:val="000413A9"/>
    <w:rsid w:val="00050B40"/>
    <w:rsid w:val="00054479"/>
    <w:rsid w:val="00057A08"/>
    <w:rsid w:val="00064F35"/>
    <w:rsid w:val="00066401"/>
    <w:rsid w:val="00072CA9"/>
    <w:rsid w:val="00072FB5"/>
    <w:rsid w:val="00073412"/>
    <w:rsid w:val="000802E1"/>
    <w:rsid w:val="00081AB2"/>
    <w:rsid w:val="00087B4D"/>
    <w:rsid w:val="000949D4"/>
    <w:rsid w:val="00095A5F"/>
    <w:rsid w:val="00095D5F"/>
    <w:rsid w:val="00096B34"/>
    <w:rsid w:val="000A3EE2"/>
    <w:rsid w:val="000A7323"/>
    <w:rsid w:val="000B1A4C"/>
    <w:rsid w:val="000B221C"/>
    <w:rsid w:val="000B2BEF"/>
    <w:rsid w:val="000B5735"/>
    <w:rsid w:val="000C34C1"/>
    <w:rsid w:val="000C778A"/>
    <w:rsid w:val="000C78C9"/>
    <w:rsid w:val="000C7AC9"/>
    <w:rsid w:val="000D1E77"/>
    <w:rsid w:val="000D4ACC"/>
    <w:rsid w:val="000D5822"/>
    <w:rsid w:val="000D6914"/>
    <w:rsid w:val="000D746D"/>
    <w:rsid w:val="000E2210"/>
    <w:rsid w:val="000E2EE8"/>
    <w:rsid w:val="000E6209"/>
    <w:rsid w:val="000F2618"/>
    <w:rsid w:val="000F4DC6"/>
    <w:rsid w:val="000F6D66"/>
    <w:rsid w:val="000F7FE0"/>
    <w:rsid w:val="00101424"/>
    <w:rsid w:val="0011658B"/>
    <w:rsid w:val="001217A1"/>
    <w:rsid w:val="00121AF2"/>
    <w:rsid w:val="00125EC2"/>
    <w:rsid w:val="00125FF0"/>
    <w:rsid w:val="001314B7"/>
    <w:rsid w:val="00134B23"/>
    <w:rsid w:val="001423A3"/>
    <w:rsid w:val="001435B1"/>
    <w:rsid w:val="0014422B"/>
    <w:rsid w:val="00144585"/>
    <w:rsid w:val="00144AE3"/>
    <w:rsid w:val="00147F45"/>
    <w:rsid w:val="001502E1"/>
    <w:rsid w:val="00151351"/>
    <w:rsid w:val="00154126"/>
    <w:rsid w:val="00161ECB"/>
    <w:rsid w:val="00164316"/>
    <w:rsid w:val="001669FC"/>
    <w:rsid w:val="00173B3F"/>
    <w:rsid w:val="00174F17"/>
    <w:rsid w:val="001759C2"/>
    <w:rsid w:val="00177AA5"/>
    <w:rsid w:val="0018198C"/>
    <w:rsid w:val="00182F55"/>
    <w:rsid w:val="001833F4"/>
    <w:rsid w:val="0018435B"/>
    <w:rsid w:val="001874B7"/>
    <w:rsid w:val="00192D91"/>
    <w:rsid w:val="00192DBD"/>
    <w:rsid w:val="001941A7"/>
    <w:rsid w:val="0019428E"/>
    <w:rsid w:val="001950B2"/>
    <w:rsid w:val="001952EB"/>
    <w:rsid w:val="001959B9"/>
    <w:rsid w:val="0019716D"/>
    <w:rsid w:val="001A1548"/>
    <w:rsid w:val="001A3976"/>
    <w:rsid w:val="001A6F2F"/>
    <w:rsid w:val="001B0F4C"/>
    <w:rsid w:val="001B120F"/>
    <w:rsid w:val="001B194D"/>
    <w:rsid w:val="001B258C"/>
    <w:rsid w:val="001B38D7"/>
    <w:rsid w:val="001B6B87"/>
    <w:rsid w:val="001C2240"/>
    <w:rsid w:val="001C4985"/>
    <w:rsid w:val="001C57FA"/>
    <w:rsid w:val="001C6BDB"/>
    <w:rsid w:val="001D6691"/>
    <w:rsid w:val="001D7779"/>
    <w:rsid w:val="001D7BC8"/>
    <w:rsid w:val="001F0C31"/>
    <w:rsid w:val="001F2D8D"/>
    <w:rsid w:val="001F3404"/>
    <w:rsid w:val="001F45FF"/>
    <w:rsid w:val="001F7FDF"/>
    <w:rsid w:val="002011C4"/>
    <w:rsid w:val="00213F96"/>
    <w:rsid w:val="00220B68"/>
    <w:rsid w:val="00221734"/>
    <w:rsid w:val="00222A20"/>
    <w:rsid w:val="00236F49"/>
    <w:rsid w:val="00241314"/>
    <w:rsid w:val="00247AD6"/>
    <w:rsid w:val="00250439"/>
    <w:rsid w:val="00250A7A"/>
    <w:rsid w:val="00252240"/>
    <w:rsid w:val="00255376"/>
    <w:rsid w:val="00261B2D"/>
    <w:rsid w:val="00263A57"/>
    <w:rsid w:val="00265092"/>
    <w:rsid w:val="002729F6"/>
    <w:rsid w:val="002810C8"/>
    <w:rsid w:val="002823FD"/>
    <w:rsid w:val="00283B38"/>
    <w:rsid w:val="0028419C"/>
    <w:rsid w:val="00284AAC"/>
    <w:rsid w:val="00284F35"/>
    <w:rsid w:val="00290716"/>
    <w:rsid w:val="0029470F"/>
    <w:rsid w:val="00297C9C"/>
    <w:rsid w:val="002A08C3"/>
    <w:rsid w:val="002A5112"/>
    <w:rsid w:val="002B59D5"/>
    <w:rsid w:val="002C6A65"/>
    <w:rsid w:val="002D0E66"/>
    <w:rsid w:val="002D2329"/>
    <w:rsid w:val="002D5C30"/>
    <w:rsid w:val="002D6352"/>
    <w:rsid w:val="002E1DD1"/>
    <w:rsid w:val="002E3162"/>
    <w:rsid w:val="002E374C"/>
    <w:rsid w:val="002E6844"/>
    <w:rsid w:val="002F0AA9"/>
    <w:rsid w:val="002F0BEF"/>
    <w:rsid w:val="002F1108"/>
    <w:rsid w:val="002F2B41"/>
    <w:rsid w:val="002F4D1A"/>
    <w:rsid w:val="002F58C4"/>
    <w:rsid w:val="002F610A"/>
    <w:rsid w:val="00301D50"/>
    <w:rsid w:val="00302E6B"/>
    <w:rsid w:val="0030687B"/>
    <w:rsid w:val="0030791F"/>
    <w:rsid w:val="003107CC"/>
    <w:rsid w:val="00313287"/>
    <w:rsid w:val="003138B2"/>
    <w:rsid w:val="00314641"/>
    <w:rsid w:val="003160C0"/>
    <w:rsid w:val="00320212"/>
    <w:rsid w:val="00322DD7"/>
    <w:rsid w:val="0034161C"/>
    <w:rsid w:val="0034529B"/>
    <w:rsid w:val="00346F9A"/>
    <w:rsid w:val="0036506A"/>
    <w:rsid w:val="00371542"/>
    <w:rsid w:val="00372FC9"/>
    <w:rsid w:val="003739C8"/>
    <w:rsid w:val="003749C8"/>
    <w:rsid w:val="00374B52"/>
    <w:rsid w:val="00375F75"/>
    <w:rsid w:val="0037613F"/>
    <w:rsid w:val="00383C8F"/>
    <w:rsid w:val="003845AE"/>
    <w:rsid w:val="00384FC8"/>
    <w:rsid w:val="003922AF"/>
    <w:rsid w:val="003952C7"/>
    <w:rsid w:val="00396D88"/>
    <w:rsid w:val="003A1319"/>
    <w:rsid w:val="003A14D1"/>
    <w:rsid w:val="003A2502"/>
    <w:rsid w:val="003A281B"/>
    <w:rsid w:val="003A4132"/>
    <w:rsid w:val="003A593B"/>
    <w:rsid w:val="003A5ABF"/>
    <w:rsid w:val="003B25BB"/>
    <w:rsid w:val="003C4218"/>
    <w:rsid w:val="003C462F"/>
    <w:rsid w:val="003C4F04"/>
    <w:rsid w:val="003C6349"/>
    <w:rsid w:val="003C6B76"/>
    <w:rsid w:val="003D1CBF"/>
    <w:rsid w:val="003D23E5"/>
    <w:rsid w:val="003D3402"/>
    <w:rsid w:val="003D3848"/>
    <w:rsid w:val="003D5651"/>
    <w:rsid w:val="003E0CD0"/>
    <w:rsid w:val="003E194B"/>
    <w:rsid w:val="003E276D"/>
    <w:rsid w:val="003E313D"/>
    <w:rsid w:val="003E6A21"/>
    <w:rsid w:val="00401081"/>
    <w:rsid w:val="00402106"/>
    <w:rsid w:val="00402DCA"/>
    <w:rsid w:val="004132D5"/>
    <w:rsid w:val="004152F2"/>
    <w:rsid w:val="00416A1D"/>
    <w:rsid w:val="004234E4"/>
    <w:rsid w:val="004244C1"/>
    <w:rsid w:val="00426BC1"/>
    <w:rsid w:val="00443707"/>
    <w:rsid w:val="004510F1"/>
    <w:rsid w:val="004525E5"/>
    <w:rsid w:val="00452B65"/>
    <w:rsid w:val="00452F2E"/>
    <w:rsid w:val="0046137C"/>
    <w:rsid w:val="00464864"/>
    <w:rsid w:val="00464869"/>
    <w:rsid w:val="00465811"/>
    <w:rsid w:val="00472920"/>
    <w:rsid w:val="004755B0"/>
    <w:rsid w:val="00477FE0"/>
    <w:rsid w:val="00480222"/>
    <w:rsid w:val="004835DC"/>
    <w:rsid w:val="004903E1"/>
    <w:rsid w:val="00491831"/>
    <w:rsid w:val="00492124"/>
    <w:rsid w:val="00492CB9"/>
    <w:rsid w:val="00496C4C"/>
    <w:rsid w:val="00497F07"/>
    <w:rsid w:val="004A2C77"/>
    <w:rsid w:val="004A597A"/>
    <w:rsid w:val="004A5A78"/>
    <w:rsid w:val="004A5F1B"/>
    <w:rsid w:val="004A5FD2"/>
    <w:rsid w:val="004A6DA0"/>
    <w:rsid w:val="004B0E98"/>
    <w:rsid w:val="004B1680"/>
    <w:rsid w:val="004B21E1"/>
    <w:rsid w:val="004B6369"/>
    <w:rsid w:val="004C4514"/>
    <w:rsid w:val="004D0417"/>
    <w:rsid w:val="004E17CB"/>
    <w:rsid w:val="004E3B4E"/>
    <w:rsid w:val="004E42D4"/>
    <w:rsid w:val="004E43C6"/>
    <w:rsid w:val="004E5DB7"/>
    <w:rsid w:val="004F0FC6"/>
    <w:rsid w:val="004F2F1B"/>
    <w:rsid w:val="00500F8D"/>
    <w:rsid w:val="00501BE1"/>
    <w:rsid w:val="005031D8"/>
    <w:rsid w:val="0050387B"/>
    <w:rsid w:val="00505C48"/>
    <w:rsid w:val="00505E24"/>
    <w:rsid w:val="00506A05"/>
    <w:rsid w:val="00506D0B"/>
    <w:rsid w:val="00507404"/>
    <w:rsid w:val="00507E47"/>
    <w:rsid w:val="00511F3A"/>
    <w:rsid w:val="00516D48"/>
    <w:rsid w:val="00516DE7"/>
    <w:rsid w:val="00517826"/>
    <w:rsid w:val="00527935"/>
    <w:rsid w:val="00527D26"/>
    <w:rsid w:val="00533621"/>
    <w:rsid w:val="0053515A"/>
    <w:rsid w:val="005452C4"/>
    <w:rsid w:val="00547D95"/>
    <w:rsid w:val="00555D7C"/>
    <w:rsid w:val="0056000C"/>
    <w:rsid w:val="005623DD"/>
    <w:rsid w:val="00563883"/>
    <w:rsid w:val="00565DE3"/>
    <w:rsid w:val="005667C5"/>
    <w:rsid w:val="0057494B"/>
    <w:rsid w:val="00576377"/>
    <w:rsid w:val="005778BA"/>
    <w:rsid w:val="00581F20"/>
    <w:rsid w:val="00582F46"/>
    <w:rsid w:val="0059048A"/>
    <w:rsid w:val="005931D1"/>
    <w:rsid w:val="00595CFF"/>
    <w:rsid w:val="00597FAE"/>
    <w:rsid w:val="005A012B"/>
    <w:rsid w:val="005A1775"/>
    <w:rsid w:val="005A5984"/>
    <w:rsid w:val="005A6F9C"/>
    <w:rsid w:val="005A7418"/>
    <w:rsid w:val="005B2195"/>
    <w:rsid w:val="005B3039"/>
    <w:rsid w:val="005C51D8"/>
    <w:rsid w:val="005D23CA"/>
    <w:rsid w:val="005D27D5"/>
    <w:rsid w:val="005D3BAD"/>
    <w:rsid w:val="005D556A"/>
    <w:rsid w:val="005D5D46"/>
    <w:rsid w:val="005E472B"/>
    <w:rsid w:val="005E4769"/>
    <w:rsid w:val="005E6671"/>
    <w:rsid w:val="005F13D0"/>
    <w:rsid w:val="005F1563"/>
    <w:rsid w:val="005F6887"/>
    <w:rsid w:val="006107F8"/>
    <w:rsid w:val="00613311"/>
    <w:rsid w:val="00620416"/>
    <w:rsid w:val="00621FE0"/>
    <w:rsid w:val="0062705B"/>
    <w:rsid w:val="00630456"/>
    <w:rsid w:val="006306E6"/>
    <w:rsid w:val="00630D69"/>
    <w:rsid w:val="00632CCC"/>
    <w:rsid w:val="00640CE4"/>
    <w:rsid w:val="0064198C"/>
    <w:rsid w:val="006452AB"/>
    <w:rsid w:val="0065099D"/>
    <w:rsid w:val="006519C6"/>
    <w:rsid w:val="00653A6E"/>
    <w:rsid w:val="006566E2"/>
    <w:rsid w:val="00657D49"/>
    <w:rsid w:val="00660A00"/>
    <w:rsid w:val="006636AD"/>
    <w:rsid w:val="00671F8E"/>
    <w:rsid w:val="006749DF"/>
    <w:rsid w:val="0068067F"/>
    <w:rsid w:val="006817AE"/>
    <w:rsid w:val="006858B9"/>
    <w:rsid w:val="006863EE"/>
    <w:rsid w:val="006874C3"/>
    <w:rsid w:val="00687C3D"/>
    <w:rsid w:val="0069017D"/>
    <w:rsid w:val="006977F3"/>
    <w:rsid w:val="006A3AA4"/>
    <w:rsid w:val="006A6B74"/>
    <w:rsid w:val="006B3287"/>
    <w:rsid w:val="006B3F61"/>
    <w:rsid w:val="006B6510"/>
    <w:rsid w:val="006B6D08"/>
    <w:rsid w:val="006C02AC"/>
    <w:rsid w:val="006C7056"/>
    <w:rsid w:val="006C708F"/>
    <w:rsid w:val="006C72AE"/>
    <w:rsid w:val="006D0B1F"/>
    <w:rsid w:val="006D276D"/>
    <w:rsid w:val="006D3814"/>
    <w:rsid w:val="006D423A"/>
    <w:rsid w:val="006E1157"/>
    <w:rsid w:val="006E6044"/>
    <w:rsid w:val="006E68A1"/>
    <w:rsid w:val="006F1360"/>
    <w:rsid w:val="006F3748"/>
    <w:rsid w:val="006F4C71"/>
    <w:rsid w:val="006F5B75"/>
    <w:rsid w:val="0070287A"/>
    <w:rsid w:val="00703A14"/>
    <w:rsid w:val="007051BE"/>
    <w:rsid w:val="00706AA7"/>
    <w:rsid w:val="00707AE1"/>
    <w:rsid w:val="0071161A"/>
    <w:rsid w:val="007148BC"/>
    <w:rsid w:val="00715EC0"/>
    <w:rsid w:val="007163C8"/>
    <w:rsid w:val="0072269C"/>
    <w:rsid w:val="0072378B"/>
    <w:rsid w:val="0072560C"/>
    <w:rsid w:val="00725F97"/>
    <w:rsid w:val="0073118F"/>
    <w:rsid w:val="0073246E"/>
    <w:rsid w:val="00733021"/>
    <w:rsid w:val="007354B4"/>
    <w:rsid w:val="00736E92"/>
    <w:rsid w:val="007370EB"/>
    <w:rsid w:val="00737BC6"/>
    <w:rsid w:val="007442C9"/>
    <w:rsid w:val="00747829"/>
    <w:rsid w:val="00747AD0"/>
    <w:rsid w:val="0075642C"/>
    <w:rsid w:val="00757AE6"/>
    <w:rsid w:val="00761C98"/>
    <w:rsid w:val="007621A4"/>
    <w:rsid w:val="007730F5"/>
    <w:rsid w:val="0077461C"/>
    <w:rsid w:val="00786CF0"/>
    <w:rsid w:val="00796B5F"/>
    <w:rsid w:val="00796FFA"/>
    <w:rsid w:val="0079720B"/>
    <w:rsid w:val="007A1ECC"/>
    <w:rsid w:val="007A2E08"/>
    <w:rsid w:val="007A7E4E"/>
    <w:rsid w:val="007B22F9"/>
    <w:rsid w:val="007B5752"/>
    <w:rsid w:val="007C1CBB"/>
    <w:rsid w:val="007C47D5"/>
    <w:rsid w:val="007C5C3C"/>
    <w:rsid w:val="007C61F4"/>
    <w:rsid w:val="007D1435"/>
    <w:rsid w:val="007D2441"/>
    <w:rsid w:val="007D6277"/>
    <w:rsid w:val="007E1F2D"/>
    <w:rsid w:val="007E3573"/>
    <w:rsid w:val="007E5287"/>
    <w:rsid w:val="007E6B69"/>
    <w:rsid w:val="007E7AE9"/>
    <w:rsid w:val="007F135B"/>
    <w:rsid w:val="00800DF7"/>
    <w:rsid w:val="0080246F"/>
    <w:rsid w:val="00803063"/>
    <w:rsid w:val="00804455"/>
    <w:rsid w:val="00811751"/>
    <w:rsid w:val="008142A8"/>
    <w:rsid w:val="00817F50"/>
    <w:rsid w:val="008230CC"/>
    <w:rsid w:val="00825345"/>
    <w:rsid w:val="0083254C"/>
    <w:rsid w:val="008372D3"/>
    <w:rsid w:val="0084028A"/>
    <w:rsid w:val="00841D15"/>
    <w:rsid w:val="0084464D"/>
    <w:rsid w:val="00845820"/>
    <w:rsid w:val="008507AB"/>
    <w:rsid w:val="00860598"/>
    <w:rsid w:val="00867922"/>
    <w:rsid w:val="008733AE"/>
    <w:rsid w:val="008756E8"/>
    <w:rsid w:val="00885312"/>
    <w:rsid w:val="008865B0"/>
    <w:rsid w:val="00891185"/>
    <w:rsid w:val="008927BD"/>
    <w:rsid w:val="00892AF6"/>
    <w:rsid w:val="00894834"/>
    <w:rsid w:val="008A6FFB"/>
    <w:rsid w:val="008B020F"/>
    <w:rsid w:val="008B2652"/>
    <w:rsid w:val="008B3579"/>
    <w:rsid w:val="008B4A42"/>
    <w:rsid w:val="008B4E88"/>
    <w:rsid w:val="008B76A7"/>
    <w:rsid w:val="008C31BA"/>
    <w:rsid w:val="008C7B93"/>
    <w:rsid w:val="008D65AF"/>
    <w:rsid w:val="008E4E56"/>
    <w:rsid w:val="008E51F9"/>
    <w:rsid w:val="008E6B94"/>
    <w:rsid w:val="008F54AF"/>
    <w:rsid w:val="008F62C2"/>
    <w:rsid w:val="008F673F"/>
    <w:rsid w:val="008F6A85"/>
    <w:rsid w:val="008F6D2A"/>
    <w:rsid w:val="00904E68"/>
    <w:rsid w:val="00905226"/>
    <w:rsid w:val="00907B39"/>
    <w:rsid w:val="0091178E"/>
    <w:rsid w:val="00912ED4"/>
    <w:rsid w:val="00913A8C"/>
    <w:rsid w:val="009215FE"/>
    <w:rsid w:val="00924CC6"/>
    <w:rsid w:val="00925651"/>
    <w:rsid w:val="0092795A"/>
    <w:rsid w:val="009336A2"/>
    <w:rsid w:val="009419C8"/>
    <w:rsid w:val="00943581"/>
    <w:rsid w:val="00954D18"/>
    <w:rsid w:val="009619F6"/>
    <w:rsid w:val="00963565"/>
    <w:rsid w:val="00963B8E"/>
    <w:rsid w:val="00965423"/>
    <w:rsid w:val="00970EB0"/>
    <w:rsid w:val="00976A65"/>
    <w:rsid w:val="00980E51"/>
    <w:rsid w:val="00983037"/>
    <w:rsid w:val="009850C8"/>
    <w:rsid w:val="00985BDE"/>
    <w:rsid w:val="00985C15"/>
    <w:rsid w:val="00991BA7"/>
    <w:rsid w:val="00993EF0"/>
    <w:rsid w:val="009A0777"/>
    <w:rsid w:val="009A0C18"/>
    <w:rsid w:val="009A54B8"/>
    <w:rsid w:val="009B0E2D"/>
    <w:rsid w:val="009B15E5"/>
    <w:rsid w:val="009B1836"/>
    <w:rsid w:val="009B466F"/>
    <w:rsid w:val="009B67AB"/>
    <w:rsid w:val="009C1A08"/>
    <w:rsid w:val="009C2D92"/>
    <w:rsid w:val="009D22CB"/>
    <w:rsid w:val="009D29CA"/>
    <w:rsid w:val="009D58D7"/>
    <w:rsid w:val="009E0ED6"/>
    <w:rsid w:val="009E501F"/>
    <w:rsid w:val="009F10CD"/>
    <w:rsid w:val="00A000F0"/>
    <w:rsid w:val="00A029A2"/>
    <w:rsid w:val="00A06452"/>
    <w:rsid w:val="00A10C5C"/>
    <w:rsid w:val="00A11A74"/>
    <w:rsid w:val="00A11BF7"/>
    <w:rsid w:val="00A150C4"/>
    <w:rsid w:val="00A15F82"/>
    <w:rsid w:val="00A20E12"/>
    <w:rsid w:val="00A216CB"/>
    <w:rsid w:val="00A24169"/>
    <w:rsid w:val="00A24946"/>
    <w:rsid w:val="00A34D3F"/>
    <w:rsid w:val="00A359CE"/>
    <w:rsid w:val="00A36347"/>
    <w:rsid w:val="00A37CE2"/>
    <w:rsid w:val="00A4103F"/>
    <w:rsid w:val="00A43CD9"/>
    <w:rsid w:val="00A50986"/>
    <w:rsid w:val="00A51352"/>
    <w:rsid w:val="00A513C2"/>
    <w:rsid w:val="00A6102D"/>
    <w:rsid w:val="00A61D84"/>
    <w:rsid w:val="00A62146"/>
    <w:rsid w:val="00A66387"/>
    <w:rsid w:val="00A66AE0"/>
    <w:rsid w:val="00A7565C"/>
    <w:rsid w:val="00A772ED"/>
    <w:rsid w:val="00A8095F"/>
    <w:rsid w:val="00A8301A"/>
    <w:rsid w:val="00A853EE"/>
    <w:rsid w:val="00A91277"/>
    <w:rsid w:val="00A941C0"/>
    <w:rsid w:val="00A96B4D"/>
    <w:rsid w:val="00AA51DF"/>
    <w:rsid w:val="00AB1EE8"/>
    <w:rsid w:val="00AB5AD4"/>
    <w:rsid w:val="00AB5DC9"/>
    <w:rsid w:val="00AB6B45"/>
    <w:rsid w:val="00AE1743"/>
    <w:rsid w:val="00AE2FEE"/>
    <w:rsid w:val="00AE66DC"/>
    <w:rsid w:val="00AE672F"/>
    <w:rsid w:val="00AF2937"/>
    <w:rsid w:val="00AF3471"/>
    <w:rsid w:val="00B04E33"/>
    <w:rsid w:val="00B06D3F"/>
    <w:rsid w:val="00B1119D"/>
    <w:rsid w:val="00B1653D"/>
    <w:rsid w:val="00B2077E"/>
    <w:rsid w:val="00B22F07"/>
    <w:rsid w:val="00B2308F"/>
    <w:rsid w:val="00B24819"/>
    <w:rsid w:val="00B33AE9"/>
    <w:rsid w:val="00B34273"/>
    <w:rsid w:val="00B34F03"/>
    <w:rsid w:val="00B35014"/>
    <w:rsid w:val="00B36BDF"/>
    <w:rsid w:val="00B41456"/>
    <w:rsid w:val="00B4233D"/>
    <w:rsid w:val="00B42A44"/>
    <w:rsid w:val="00B4388C"/>
    <w:rsid w:val="00B43A46"/>
    <w:rsid w:val="00B43E31"/>
    <w:rsid w:val="00B44323"/>
    <w:rsid w:val="00B462BF"/>
    <w:rsid w:val="00B50870"/>
    <w:rsid w:val="00B51C61"/>
    <w:rsid w:val="00B559F4"/>
    <w:rsid w:val="00B568FB"/>
    <w:rsid w:val="00B6050D"/>
    <w:rsid w:val="00B612B1"/>
    <w:rsid w:val="00B725EA"/>
    <w:rsid w:val="00B749E5"/>
    <w:rsid w:val="00B74CDE"/>
    <w:rsid w:val="00B80B93"/>
    <w:rsid w:val="00B81BBB"/>
    <w:rsid w:val="00B96094"/>
    <w:rsid w:val="00B97FD6"/>
    <w:rsid w:val="00BA5D17"/>
    <w:rsid w:val="00BA7B6F"/>
    <w:rsid w:val="00BB01B6"/>
    <w:rsid w:val="00BB1AB8"/>
    <w:rsid w:val="00BB1CC8"/>
    <w:rsid w:val="00BB32F4"/>
    <w:rsid w:val="00BB6F01"/>
    <w:rsid w:val="00BC7D93"/>
    <w:rsid w:val="00BD19BB"/>
    <w:rsid w:val="00BD1EC4"/>
    <w:rsid w:val="00BD2BD0"/>
    <w:rsid w:val="00BD345D"/>
    <w:rsid w:val="00BD4FFF"/>
    <w:rsid w:val="00BD5D47"/>
    <w:rsid w:val="00BD6F21"/>
    <w:rsid w:val="00BE0ED7"/>
    <w:rsid w:val="00BE2582"/>
    <w:rsid w:val="00BE3B03"/>
    <w:rsid w:val="00BE4AF7"/>
    <w:rsid w:val="00BF0E82"/>
    <w:rsid w:val="00BF4ECB"/>
    <w:rsid w:val="00BF7068"/>
    <w:rsid w:val="00BF7967"/>
    <w:rsid w:val="00C05DC7"/>
    <w:rsid w:val="00C0668E"/>
    <w:rsid w:val="00C06E14"/>
    <w:rsid w:val="00C06F8B"/>
    <w:rsid w:val="00C1017A"/>
    <w:rsid w:val="00C12211"/>
    <w:rsid w:val="00C140D3"/>
    <w:rsid w:val="00C1485C"/>
    <w:rsid w:val="00C209DF"/>
    <w:rsid w:val="00C20FD4"/>
    <w:rsid w:val="00C22D59"/>
    <w:rsid w:val="00C2446C"/>
    <w:rsid w:val="00C25CA0"/>
    <w:rsid w:val="00C3410B"/>
    <w:rsid w:val="00C34927"/>
    <w:rsid w:val="00C3658A"/>
    <w:rsid w:val="00C36D3D"/>
    <w:rsid w:val="00C36F67"/>
    <w:rsid w:val="00C3703C"/>
    <w:rsid w:val="00C37182"/>
    <w:rsid w:val="00C438CB"/>
    <w:rsid w:val="00C44BF0"/>
    <w:rsid w:val="00C457FE"/>
    <w:rsid w:val="00C45F69"/>
    <w:rsid w:val="00C47135"/>
    <w:rsid w:val="00C5144B"/>
    <w:rsid w:val="00C51B85"/>
    <w:rsid w:val="00C530C7"/>
    <w:rsid w:val="00C55E88"/>
    <w:rsid w:val="00C6370A"/>
    <w:rsid w:val="00C65A70"/>
    <w:rsid w:val="00C671F8"/>
    <w:rsid w:val="00C7247E"/>
    <w:rsid w:val="00C739D4"/>
    <w:rsid w:val="00C747F2"/>
    <w:rsid w:val="00C8109C"/>
    <w:rsid w:val="00C81983"/>
    <w:rsid w:val="00C84292"/>
    <w:rsid w:val="00C87600"/>
    <w:rsid w:val="00C901C3"/>
    <w:rsid w:val="00C9358F"/>
    <w:rsid w:val="00C96633"/>
    <w:rsid w:val="00CA5C37"/>
    <w:rsid w:val="00CA6B5D"/>
    <w:rsid w:val="00CB7555"/>
    <w:rsid w:val="00CC1095"/>
    <w:rsid w:val="00CC3524"/>
    <w:rsid w:val="00CC3782"/>
    <w:rsid w:val="00CC561F"/>
    <w:rsid w:val="00CC5B60"/>
    <w:rsid w:val="00CD0DCE"/>
    <w:rsid w:val="00CD2DFB"/>
    <w:rsid w:val="00CE1168"/>
    <w:rsid w:val="00CE1E79"/>
    <w:rsid w:val="00CF1708"/>
    <w:rsid w:val="00CF61B7"/>
    <w:rsid w:val="00D02178"/>
    <w:rsid w:val="00D025F9"/>
    <w:rsid w:val="00D04609"/>
    <w:rsid w:val="00D07B03"/>
    <w:rsid w:val="00D10C42"/>
    <w:rsid w:val="00D2404B"/>
    <w:rsid w:val="00D24B94"/>
    <w:rsid w:val="00D31C71"/>
    <w:rsid w:val="00D325C9"/>
    <w:rsid w:val="00D4269E"/>
    <w:rsid w:val="00D4501D"/>
    <w:rsid w:val="00D47842"/>
    <w:rsid w:val="00D47C55"/>
    <w:rsid w:val="00D511A1"/>
    <w:rsid w:val="00D51826"/>
    <w:rsid w:val="00D554EE"/>
    <w:rsid w:val="00D63E6D"/>
    <w:rsid w:val="00D66A80"/>
    <w:rsid w:val="00D66F7F"/>
    <w:rsid w:val="00D71848"/>
    <w:rsid w:val="00D768B4"/>
    <w:rsid w:val="00D8166B"/>
    <w:rsid w:val="00DA2011"/>
    <w:rsid w:val="00DA3563"/>
    <w:rsid w:val="00DB456D"/>
    <w:rsid w:val="00DB5136"/>
    <w:rsid w:val="00DB6656"/>
    <w:rsid w:val="00DB72B8"/>
    <w:rsid w:val="00DB7B7D"/>
    <w:rsid w:val="00DD0FCA"/>
    <w:rsid w:val="00DD4C19"/>
    <w:rsid w:val="00DD6BFF"/>
    <w:rsid w:val="00DE07DE"/>
    <w:rsid w:val="00DE3CD9"/>
    <w:rsid w:val="00DE5FEF"/>
    <w:rsid w:val="00DF0A82"/>
    <w:rsid w:val="00DF4791"/>
    <w:rsid w:val="00E0451C"/>
    <w:rsid w:val="00E07F00"/>
    <w:rsid w:val="00E1135A"/>
    <w:rsid w:val="00E124CA"/>
    <w:rsid w:val="00E164BB"/>
    <w:rsid w:val="00E21CF5"/>
    <w:rsid w:val="00E23C82"/>
    <w:rsid w:val="00E31D57"/>
    <w:rsid w:val="00E345B9"/>
    <w:rsid w:val="00E36F8C"/>
    <w:rsid w:val="00E40B79"/>
    <w:rsid w:val="00E40D74"/>
    <w:rsid w:val="00E421F5"/>
    <w:rsid w:val="00E42E2C"/>
    <w:rsid w:val="00E43C17"/>
    <w:rsid w:val="00E468BC"/>
    <w:rsid w:val="00E54656"/>
    <w:rsid w:val="00E57CB2"/>
    <w:rsid w:val="00E601EC"/>
    <w:rsid w:val="00E646DD"/>
    <w:rsid w:val="00E64909"/>
    <w:rsid w:val="00E6509B"/>
    <w:rsid w:val="00E65BA9"/>
    <w:rsid w:val="00E7382B"/>
    <w:rsid w:val="00E74505"/>
    <w:rsid w:val="00E745BA"/>
    <w:rsid w:val="00E86F65"/>
    <w:rsid w:val="00E87358"/>
    <w:rsid w:val="00E91955"/>
    <w:rsid w:val="00E92117"/>
    <w:rsid w:val="00E934DD"/>
    <w:rsid w:val="00E93A6F"/>
    <w:rsid w:val="00E97479"/>
    <w:rsid w:val="00EA0FEE"/>
    <w:rsid w:val="00EA20AE"/>
    <w:rsid w:val="00EA46FD"/>
    <w:rsid w:val="00EA5018"/>
    <w:rsid w:val="00EA5E4D"/>
    <w:rsid w:val="00EB34BA"/>
    <w:rsid w:val="00EB66C2"/>
    <w:rsid w:val="00EB6789"/>
    <w:rsid w:val="00EB6A13"/>
    <w:rsid w:val="00EB6E71"/>
    <w:rsid w:val="00EB749D"/>
    <w:rsid w:val="00EC5464"/>
    <w:rsid w:val="00EC6A0E"/>
    <w:rsid w:val="00EC6ED8"/>
    <w:rsid w:val="00ED4146"/>
    <w:rsid w:val="00ED5823"/>
    <w:rsid w:val="00ED64C3"/>
    <w:rsid w:val="00ED6AE0"/>
    <w:rsid w:val="00EE2035"/>
    <w:rsid w:val="00EE2D32"/>
    <w:rsid w:val="00EF18B3"/>
    <w:rsid w:val="00EF55FB"/>
    <w:rsid w:val="00F07CC9"/>
    <w:rsid w:val="00F1642E"/>
    <w:rsid w:val="00F23DD1"/>
    <w:rsid w:val="00F27BFD"/>
    <w:rsid w:val="00F3084B"/>
    <w:rsid w:val="00F317C8"/>
    <w:rsid w:val="00F32EED"/>
    <w:rsid w:val="00F361AC"/>
    <w:rsid w:val="00F5002E"/>
    <w:rsid w:val="00F53368"/>
    <w:rsid w:val="00F54523"/>
    <w:rsid w:val="00F571F8"/>
    <w:rsid w:val="00F618A6"/>
    <w:rsid w:val="00F6244A"/>
    <w:rsid w:val="00F63C6F"/>
    <w:rsid w:val="00F6513B"/>
    <w:rsid w:val="00F6555C"/>
    <w:rsid w:val="00F6661A"/>
    <w:rsid w:val="00F7058E"/>
    <w:rsid w:val="00F72111"/>
    <w:rsid w:val="00F740AC"/>
    <w:rsid w:val="00F750D3"/>
    <w:rsid w:val="00F75F20"/>
    <w:rsid w:val="00F80C86"/>
    <w:rsid w:val="00F846A3"/>
    <w:rsid w:val="00F859DA"/>
    <w:rsid w:val="00F86820"/>
    <w:rsid w:val="00F90E8A"/>
    <w:rsid w:val="00F92030"/>
    <w:rsid w:val="00F951E5"/>
    <w:rsid w:val="00F97F5D"/>
    <w:rsid w:val="00FA2215"/>
    <w:rsid w:val="00FA2AE8"/>
    <w:rsid w:val="00FA610D"/>
    <w:rsid w:val="00FB013F"/>
    <w:rsid w:val="00FB04C3"/>
    <w:rsid w:val="00FB547F"/>
    <w:rsid w:val="00FC09A7"/>
    <w:rsid w:val="00FC593D"/>
    <w:rsid w:val="00FD07D0"/>
    <w:rsid w:val="00FD2550"/>
    <w:rsid w:val="00FE08AF"/>
    <w:rsid w:val="00FE23C3"/>
    <w:rsid w:val="00FE7986"/>
    <w:rsid w:val="00FF395E"/>
    <w:rsid w:val="00FF448F"/>
    <w:rsid w:val="00FF45B2"/>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2329"/>
    <w:pPr>
      <w:keepNext/>
      <w:numPr>
        <w:numId w:val="4"/>
      </w:numPr>
      <w:jc w:val="both"/>
      <w:outlineLvl w:val="0"/>
    </w:pPr>
    <w:rPr>
      <w:b/>
      <w:bCs/>
      <w:kern w:val="32"/>
      <w:szCs w:val="32"/>
    </w:rPr>
  </w:style>
  <w:style w:type="paragraph" w:styleId="Nadpis2">
    <w:name w:val="heading 2"/>
    <w:basedOn w:val="Normln"/>
    <w:next w:val="Normln"/>
    <w:link w:val="Nadpis2Char"/>
    <w:qFormat/>
    <w:rsid w:val="002D2329"/>
    <w:pPr>
      <w:keepNext/>
      <w:numPr>
        <w:ilvl w:val="1"/>
        <w:numId w:val="4"/>
      </w:numPr>
      <w:jc w:val="both"/>
      <w:outlineLvl w:val="1"/>
    </w:pPr>
    <w:rPr>
      <w:b/>
    </w:rPr>
  </w:style>
  <w:style w:type="paragraph" w:styleId="Nadpis3">
    <w:name w:val="heading 3"/>
    <w:basedOn w:val="Normln"/>
    <w:next w:val="Normln"/>
    <w:link w:val="Nadpis3Char"/>
    <w:qFormat/>
    <w:rsid w:val="002D2329"/>
    <w:pPr>
      <w:numPr>
        <w:ilvl w:val="2"/>
        <w:numId w:val="4"/>
      </w:numPr>
      <w:jc w:val="both"/>
      <w:outlineLvl w:val="2"/>
    </w:pPr>
    <w:rPr>
      <w:b/>
    </w:rPr>
  </w:style>
  <w:style w:type="paragraph" w:styleId="Nadpis4">
    <w:name w:val="heading 4"/>
    <w:basedOn w:val="Normln"/>
    <w:next w:val="Normln"/>
    <w:link w:val="Nadpis4Char"/>
    <w:semiHidden/>
    <w:unhideWhenUsed/>
    <w:qFormat/>
    <w:rsid w:val="002D2329"/>
    <w:pPr>
      <w:keepNext/>
      <w:keepLines/>
      <w:numPr>
        <w:ilvl w:val="3"/>
        <w:numId w:val="4"/>
      </w:numPr>
      <w:spacing w:before="40"/>
      <w:jc w:val="both"/>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2D2329"/>
    <w:pPr>
      <w:keepNext/>
      <w:keepLines/>
      <w:numPr>
        <w:ilvl w:val="4"/>
        <w:numId w:val="4"/>
      </w:numPr>
      <w:spacing w:before="40"/>
      <w:jc w:val="both"/>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D2329"/>
    <w:pPr>
      <w:keepNext/>
      <w:keepLines/>
      <w:numPr>
        <w:ilvl w:val="5"/>
        <w:numId w:val="4"/>
      </w:numPr>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2D2329"/>
    <w:pPr>
      <w:keepNext/>
      <w:keepLines/>
      <w:numPr>
        <w:ilvl w:val="6"/>
        <w:numId w:val="4"/>
      </w:numPr>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2D2329"/>
    <w:pPr>
      <w:keepNext/>
      <w:keepLines/>
      <w:numPr>
        <w:ilvl w:val="7"/>
        <w:numId w:val="4"/>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D2329"/>
    <w:pPr>
      <w:keepNext/>
      <w:keepLines/>
      <w:numPr>
        <w:ilvl w:val="8"/>
        <w:numId w:val="4"/>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2D2329"/>
    <w:rPr>
      <w:b/>
      <w:bCs/>
      <w:kern w:val="32"/>
      <w:sz w:val="24"/>
      <w:szCs w:val="32"/>
    </w:rPr>
  </w:style>
  <w:style w:type="character" w:customStyle="1" w:styleId="Nadpis2Char">
    <w:name w:val="Nadpis 2 Char"/>
    <w:basedOn w:val="Standardnpsmoodstavce"/>
    <w:link w:val="Nadpis2"/>
    <w:rsid w:val="002D2329"/>
    <w:rPr>
      <w:b/>
      <w:sz w:val="24"/>
      <w:szCs w:val="24"/>
    </w:rPr>
  </w:style>
  <w:style w:type="character" w:customStyle="1" w:styleId="Nadpis3Char">
    <w:name w:val="Nadpis 3 Char"/>
    <w:basedOn w:val="Standardnpsmoodstavce"/>
    <w:link w:val="Nadpis3"/>
    <w:rsid w:val="002D2329"/>
    <w:rPr>
      <w:b/>
      <w:sz w:val="24"/>
      <w:szCs w:val="24"/>
    </w:rPr>
  </w:style>
  <w:style w:type="character" w:customStyle="1" w:styleId="Nadpis4Char">
    <w:name w:val="Nadpis 4 Char"/>
    <w:basedOn w:val="Standardnpsmoodstavce"/>
    <w:link w:val="Nadpis4"/>
    <w:semiHidden/>
    <w:rsid w:val="002D2329"/>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2D2329"/>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2D2329"/>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2D2329"/>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2D23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D2329"/>
    <w:rPr>
      <w:rFonts w:asciiTheme="majorHAnsi" w:eastAsiaTheme="majorEastAsia" w:hAnsiTheme="majorHAnsi" w:cstheme="majorBidi"/>
      <w:i/>
      <w:iCs/>
      <w:color w:val="272727" w:themeColor="text1" w:themeTint="D8"/>
      <w:sz w:val="21"/>
      <w:szCs w:val="21"/>
    </w:rPr>
  </w:style>
  <w:style w:type="paragraph" w:styleId="Seznamsodrkami">
    <w:name w:val="List Bullet"/>
    <w:basedOn w:val="Normln"/>
    <w:rsid w:val="002D2329"/>
    <w:pPr>
      <w:numPr>
        <w:numId w:val="2"/>
      </w:numPr>
      <w:jc w:val="both"/>
    </w:pPr>
  </w:style>
  <w:style w:type="paragraph" w:styleId="Odstavecseseznamem">
    <w:name w:val="List Paragraph"/>
    <w:basedOn w:val="Normln"/>
    <w:uiPriority w:val="34"/>
    <w:qFormat/>
    <w:rsid w:val="002D2329"/>
    <w:pPr>
      <w:ind w:left="720"/>
      <w:contextualSpacing/>
      <w:jc w:val="both"/>
    </w:pPr>
  </w:style>
  <w:style w:type="paragraph" w:customStyle="1" w:styleId="Zkladntext31">
    <w:name w:val="Základní text 31"/>
    <w:basedOn w:val="Normln"/>
    <w:rsid w:val="00B41456"/>
    <w:pPr>
      <w:jc w:val="both"/>
    </w:pPr>
    <w:rPr>
      <w:szCs w:val="20"/>
    </w:rPr>
  </w:style>
  <w:style w:type="character" w:styleId="Nevyeenzmnka">
    <w:name w:val="Unresolved Mention"/>
    <w:basedOn w:val="Standardnpsmoodstavce"/>
    <w:uiPriority w:val="99"/>
    <w:semiHidden/>
    <w:unhideWhenUsed/>
    <w:rsid w:val="00EA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2498">
      <w:bodyDiv w:val="1"/>
      <w:marLeft w:val="0"/>
      <w:marRight w:val="0"/>
      <w:marTop w:val="0"/>
      <w:marBottom w:val="0"/>
      <w:divBdr>
        <w:top w:val="none" w:sz="0" w:space="0" w:color="auto"/>
        <w:left w:val="none" w:sz="0" w:space="0" w:color="auto"/>
        <w:bottom w:val="none" w:sz="0" w:space="0" w:color="auto"/>
        <w:right w:val="none" w:sz="0" w:space="0" w:color="auto"/>
      </w:divBdr>
    </w:div>
    <w:div w:id="347680639">
      <w:bodyDiv w:val="1"/>
      <w:marLeft w:val="0"/>
      <w:marRight w:val="0"/>
      <w:marTop w:val="0"/>
      <w:marBottom w:val="0"/>
      <w:divBdr>
        <w:top w:val="none" w:sz="0" w:space="0" w:color="auto"/>
        <w:left w:val="none" w:sz="0" w:space="0" w:color="auto"/>
        <w:bottom w:val="none" w:sz="0" w:space="0" w:color="auto"/>
        <w:right w:val="none" w:sz="0" w:space="0" w:color="auto"/>
      </w:divBdr>
    </w:div>
    <w:div w:id="699012406">
      <w:bodyDiv w:val="1"/>
      <w:marLeft w:val="0"/>
      <w:marRight w:val="0"/>
      <w:marTop w:val="0"/>
      <w:marBottom w:val="0"/>
      <w:divBdr>
        <w:top w:val="none" w:sz="0" w:space="0" w:color="auto"/>
        <w:left w:val="none" w:sz="0" w:space="0" w:color="auto"/>
        <w:bottom w:val="none" w:sz="0" w:space="0" w:color="auto"/>
        <w:right w:val="none" w:sz="0" w:space="0" w:color="auto"/>
      </w:divBdr>
    </w:div>
    <w:div w:id="704216780">
      <w:bodyDiv w:val="1"/>
      <w:marLeft w:val="0"/>
      <w:marRight w:val="0"/>
      <w:marTop w:val="0"/>
      <w:marBottom w:val="0"/>
      <w:divBdr>
        <w:top w:val="none" w:sz="0" w:space="0" w:color="auto"/>
        <w:left w:val="none" w:sz="0" w:space="0" w:color="auto"/>
        <w:bottom w:val="none" w:sz="0" w:space="0" w:color="auto"/>
        <w:right w:val="none" w:sz="0" w:space="0" w:color="auto"/>
      </w:divBdr>
    </w:div>
    <w:div w:id="830295189">
      <w:bodyDiv w:val="1"/>
      <w:marLeft w:val="0"/>
      <w:marRight w:val="0"/>
      <w:marTop w:val="0"/>
      <w:marBottom w:val="0"/>
      <w:divBdr>
        <w:top w:val="none" w:sz="0" w:space="0" w:color="auto"/>
        <w:left w:val="none" w:sz="0" w:space="0" w:color="auto"/>
        <w:bottom w:val="none" w:sz="0" w:space="0" w:color="auto"/>
        <w:right w:val="none" w:sz="0" w:space="0" w:color="auto"/>
      </w:divBdr>
    </w:div>
    <w:div w:id="874729260">
      <w:bodyDiv w:val="1"/>
      <w:marLeft w:val="0"/>
      <w:marRight w:val="0"/>
      <w:marTop w:val="0"/>
      <w:marBottom w:val="0"/>
      <w:divBdr>
        <w:top w:val="none" w:sz="0" w:space="0" w:color="auto"/>
        <w:left w:val="none" w:sz="0" w:space="0" w:color="auto"/>
        <w:bottom w:val="none" w:sz="0" w:space="0" w:color="auto"/>
        <w:right w:val="none" w:sz="0" w:space="0" w:color="auto"/>
      </w:divBdr>
    </w:div>
    <w:div w:id="17789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t.gov.cz/vzdelavani/skolstvi-v-cr/ekonomika-skolstvi/financni-prostredky-stanovene-ministerstvem-pro-skoly-a-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F9EC-5EBC-43D7-9D3F-CCF399CF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16</Pages>
  <Words>5696</Words>
  <Characters>33133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Zeman</dc:creator>
  <cp:keywords/>
  <cp:lastModifiedBy>Čermáková Monika</cp:lastModifiedBy>
  <cp:revision>54</cp:revision>
  <cp:lastPrinted>2022-05-03T07:21:00Z</cp:lastPrinted>
  <dcterms:created xsi:type="dcterms:W3CDTF">2025-03-11T12:17:00Z</dcterms:created>
  <dcterms:modified xsi:type="dcterms:W3CDTF">2025-03-14T08:23:00Z</dcterms:modified>
</cp:coreProperties>
</file>